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黑体" w:eastAsia="黑体" w:cs="Times New Roman"/>
          <w:sz w:val="24"/>
        </w:rPr>
      </w:pPr>
      <w:bookmarkStart w:id="0" w:name="_Toc308180609"/>
      <w:r>
        <w:rPr>
          <w:rFonts w:hint="eastAsia" w:ascii="黑体" w:eastAsia="黑体" w:cs="黑体"/>
          <w:sz w:val="24"/>
        </w:rPr>
        <w:t>车市扫描</w:t>
      </w:r>
      <w:r>
        <w:rPr>
          <w:rFonts w:ascii="黑体" w:eastAsia="黑体" w:cs="黑体"/>
          <w:sz w:val="24"/>
        </w:rPr>
        <w:t>-2020</w:t>
      </w:r>
      <w:r>
        <w:rPr>
          <w:rFonts w:hint="eastAsia" w:ascii="黑体" w:eastAsia="黑体" w:cs="黑体"/>
          <w:sz w:val="24"/>
        </w:rPr>
        <w:t>年</w:t>
      </w:r>
      <w:r>
        <w:rPr>
          <w:rFonts w:ascii="黑体" w:eastAsia="黑体" w:cs="黑体"/>
          <w:sz w:val="24"/>
        </w:rPr>
        <w:t>23</w:t>
      </w:r>
      <w:r>
        <w:rPr>
          <w:rFonts w:hint="eastAsia" w:ascii="黑体" w:eastAsia="黑体" w:cs="黑体"/>
          <w:sz w:val="24"/>
        </w:rPr>
        <w:t>期（</w:t>
      </w:r>
      <w:r>
        <w:rPr>
          <w:rFonts w:ascii="黑体" w:eastAsia="黑体" w:cs="黑体"/>
          <w:sz w:val="24"/>
        </w:rPr>
        <w:t>6</w:t>
      </w:r>
      <w:r>
        <w:rPr>
          <w:rFonts w:hint="eastAsia" w:ascii="黑体" w:eastAsia="黑体" w:cs="黑体"/>
          <w:sz w:val="24"/>
        </w:rPr>
        <w:t>月</w:t>
      </w:r>
      <w:r>
        <w:rPr>
          <w:rFonts w:ascii="黑体" w:eastAsia="黑体" w:cs="黑体"/>
          <w:sz w:val="24"/>
        </w:rPr>
        <w:t>1</w:t>
      </w:r>
      <w:r>
        <w:rPr>
          <w:rFonts w:hint="eastAsia" w:ascii="黑体" w:eastAsia="黑体" w:cs="黑体"/>
          <w:sz w:val="24"/>
        </w:rPr>
        <w:t>日</w:t>
      </w:r>
      <w:r>
        <w:rPr>
          <w:rFonts w:ascii="黑体" w:eastAsia="黑体" w:cs="黑体"/>
          <w:sz w:val="24"/>
        </w:rPr>
        <w:t>-6</w:t>
      </w:r>
      <w:r>
        <w:rPr>
          <w:rFonts w:hint="eastAsia" w:ascii="黑体" w:eastAsia="黑体" w:cs="黑体"/>
          <w:sz w:val="24"/>
        </w:rPr>
        <w:t>月</w:t>
      </w:r>
      <w:r>
        <w:rPr>
          <w:rFonts w:ascii="黑体" w:eastAsia="黑体" w:cs="黑体"/>
          <w:sz w:val="24"/>
        </w:rPr>
        <w:t>7</w:t>
      </w:r>
      <w:r>
        <w:rPr>
          <w:rFonts w:hint="eastAsia" w:ascii="黑体" w:eastAsia="黑体" w:cs="黑体"/>
          <w:sz w:val="24"/>
        </w:rPr>
        <w:t>日）</w:t>
      </w:r>
      <w:bookmarkEnd w:id="0"/>
    </w:p>
    <w:p>
      <w:pPr>
        <w:rPr>
          <w:rFonts w:ascii="宋体" w:hAnsi="宋体" w:eastAsia="宋体" w:cs="黑体"/>
        </w:rPr>
      </w:pPr>
      <w:r>
        <w:rPr>
          <w:rFonts w:hint="eastAsia" w:ascii="宋体" w:hAnsi="宋体" w:eastAsia="宋体" w:cs="黑体"/>
        </w:rPr>
        <w:t>主要信息源自乘联会每日新闻等</w:t>
      </w:r>
    </w:p>
    <w:p>
      <w:pPr>
        <w:rPr>
          <w:rFonts w:ascii="宋体" w:hAnsi="宋体" w:eastAsia="宋体" w:cs="黑体"/>
        </w:rPr>
      </w:pPr>
      <w:r>
        <w:rPr>
          <w:rFonts w:hint="eastAsia" w:ascii="宋体" w:hAnsi="宋体" w:eastAsia="宋体" w:cs="黑体"/>
        </w:rPr>
        <w:t>中国汽车流通协会汽车市场研究分会</w:t>
      </w:r>
    </w:p>
    <w:p>
      <w:pPr>
        <w:rPr>
          <w:rFonts w:ascii="宋体" w:hAnsi="宋体" w:eastAsia="宋体" w:cs="黑体"/>
        </w:rPr>
      </w:pPr>
      <w:r>
        <w:rPr>
          <w:rFonts w:hint="eastAsia" w:ascii="宋体" w:hAnsi="宋体" w:eastAsia="宋体" w:cs="黑体"/>
        </w:rPr>
        <w:t>乘用车市场信息联席会（乘联会）</w:t>
      </w:r>
    </w:p>
    <w:p>
      <w:pPr>
        <w:rPr>
          <w:rFonts w:ascii="宋体" w:hAnsi="宋体" w:eastAsia="宋体" w:cs="黑体"/>
        </w:rPr>
      </w:pPr>
      <w:r>
        <w:rPr>
          <w:rFonts w:hint="eastAsia" w:ascii="宋体" w:hAnsi="宋体" w:eastAsia="宋体" w:cs="黑体"/>
        </w:rPr>
        <w:t>网站：</w:t>
      </w:r>
      <w:r>
        <w:fldChar w:fldCharType="begin"/>
      </w:r>
      <w:r>
        <w:instrText xml:space="preserve"> HYPERLINK "http://www.cpcaauto.com" </w:instrText>
      </w:r>
      <w:r>
        <w:fldChar w:fldCharType="separate"/>
      </w:r>
      <w:r>
        <w:rPr>
          <w:rStyle w:val="6"/>
          <w:rFonts w:ascii="宋体" w:hAnsi="宋体" w:eastAsia="宋体" w:cs="黑体"/>
        </w:rPr>
        <w:t>http://www.cpcaauto.com</w:t>
      </w:r>
      <w:r>
        <w:rPr>
          <w:rStyle w:val="6"/>
          <w:rFonts w:ascii="宋体" w:hAnsi="宋体" w:eastAsia="宋体" w:cs="黑体"/>
        </w:rPr>
        <w:fldChar w:fldCharType="end"/>
      </w:r>
    </w:p>
    <w:p>
      <w:pPr>
        <w:rPr>
          <w:rFonts w:ascii="宋体" w:hAnsi="宋体" w:eastAsia="宋体" w:cs="Times New Roman"/>
        </w:rPr>
      </w:pPr>
    </w:p>
    <w:p>
      <w:pPr>
        <w:pStyle w:val="7"/>
        <w:numPr>
          <w:ilvl w:val="0"/>
          <w:numId w:val="1"/>
        </w:numPr>
        <w:ind w:left="284" w:firstLineChars="0"/>
        <w:outlineLvl w:val="0"/>
        <w:rPr>
          <w:rFonts w:ascii="宋体" w:hAnsi="宋体" w:eastAsia="宋体" w:cs="Times New Roman"/>
          <w:b/>
          <w:bCs/>
        </w:rPr>
      </w:pPr>
      <w:r>
        <w:rPr>
          <w:rFonts w:hint="eastAsia" w:ascii="宋体" w:hAnsi="宋体" w:eastAsia="宋体" w:cs="宋体"/>
          <w:b/>
          <w:bCs/>
        </w:rPr>
        <w:t>本周车市概述：</w:t>
      </w:r>
    </w:p>
    <w:p>
      <w:pPr>
        <w:numPr>
          <w:ilvl w:val="0"/>
          <w:numId w:val="2"/>
        </w:numPr>
        <w:outlineLvl w:val="1"/>
        <w:rPr>
          <w:rFonts w:ascii="宋体" w:hAnsi="宋体" w:eastAsia="宋体" w:cs="Times New Roman"/>
          <w:b/>
          <w:bCs/>
          <w:sz w:val="24"/>
        </w:rPr>
      </w:pPr>
      <w:r>
        <w:rPr>
          <w:rFonts w:ascii="宋体" w:hAnsi="宋体" w:eastAsia="宋体" w:cs="Times New Roman"/>
          <w:b/>
          <w:bCs/>
          <w:sz w:val="24"/>
        </w:rPr>
        <w:t>6</w:t>
      </w:r>
      <w:r>
        <w:rPr>
          <w:rFonts w:hint="eastAsia" w:ascii="宋体" w:hAnsi="宋体" w:eastAsia="宋体" w:cs="Times New Roman"/>
          <w:b/>
          <w:bCs/>
          <w:sz w:val="24"/>
        </w:rPr>
        <w:t>月乘用车市场零售起步不强</w:t>
      </w:r>
    </w:p>
    <w:p>
      <w:pPr>
        <w:jc w:val="center"/>
        <w:rPr>
          <w:rFonts w:hint="eastAsia" w:ascii="宋体" w:hAnsi="宋体" w:eastAsia="宋体" w:cs="Times New Roman"/>
          <w:szCs w:val="21"/>
          <w:lang w:eastAsia="zh-CN"/>
        </w:rPr>
      </w:pPr>
      <w:r>
        <w:rPr>
          <w:rFonts w:hint="eastAsia" w:ascii="宋体" w:hAnsi="宋体" w:eastAsia="宋体" w:cs="Times New Roman"/>
          <w:szCs w:val="21"/>
          <w:lang w:eastAsia="zh-CN"/>
        </w:rPr>
        <w:drawing>
          <wp:inline distT="0" distB="0" distL="114300" distR="114300">
            <wp:extent cx="3973195" cy="3141345"/>
            <wp:effectExtent l="0" t="0" r="8255" b="1905"/>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5"/>
                    <a:stretch>
                      <a:fillRect/>
                    </a:stretch>
                  </pic:blipFill>
                  <pic:spPr>
                    <a:xfrm>
                      <a:off x="0" y="0"/>
                      <a:ext cx="3973195" cy="3141345"/>
                    </a:xfrm>
                    <a:prstGeom prst="rect">
                      <a:avLst/>
                    </a:prstGeom>
                  </pic:spPr>
                </pic:pic>
              </a:graphicData>
            </a:graphic>
          </wp:inline>
        </w:drawing>
      </w:r>
    </w:p>
    <w:p>
      <w:pPr>
        <w:ind w:firstLine="567" w:firstLineChars="270"/>
        <w:rPr>
          <w:rFonts w:ascii="宋体" w:hAnsi="宋体" w:eastAsia="宋体"/>
          <w:szCs w:val="21"/>
        </w:rPr>
      </w:pPr>
      <w:r>
        <w:rPr>
          <w:rFonts w:ascii="宋体" w:hAnsi="宋体" w:eastAsia="宋体"/>
          <w:szCs w:val="21"/>
        </w:rPr>
        <w:t>6</w:t>
      </w:r>
      <w:r>
        <w:rPr>
          <w:rFonts w:hint="eastAsia" w:ascii="宋体" w:hAnsi="宋体" w:eastAsia="宋体"/>
          <w:szCs w:val="21"/>
        </w:rPr>
        <w:t>月第一周（1</w:t>
      </w:r>
      <w:r>
        <w:rPr>
          <w:rFonts w:ascii="宋体" w:hAnsi="宋体" w:eastAsia="宋体"/>
          <w:szCs w:val="21"/>
        </w:rPr>
        <w:t>-7</w:t>
      </w:r>
      <w:r>
        <w:rPr>
          <w:rFonts w:hint="eastAsia" w:ascii="宋体" w:hAnsi="宋体" w:eastAsia="宋体"/>
          <w:szCs w:val="21"/>
        </w:rPr>
        <w:t>日）的乘用车市场零售表现不强，第一周日均零售</w:t>
      </w:r>
      <w:r>
        <w:rPr>
          <w:rFonts w:ascii="宋体" w:hAnsi="宋体" w:eastAsia="宋体"/>
          <w:szCs w:val="21"/>
        </w:rPr>
        <w:t>2.57</w:t>
      </w:r>
      <w:r>
        <w:rPr>
          <w:rFonts w:hint="eastAsia" w:ascii="宋体" w:hAnsi="宋体" w:eastAsia="宋体"/>
          <w:szCs w:val="21"/>
        </w:rPr>
        <w:t>万辆，同比增速下降</w:t>
      </w:r>
      <w:r>
        <w:rPr>
          <w:rFonts w:ascii="宋体" w:hAnsi="宋体" w:eastAsia="宋体"/>
          <w:szCs w:val="21"/>
        </w:rPr>
        <w:t>10</w:t>
      </w:r>
      <w:r>
        <w:rPr>
          <w:rFonts w:hint="eastAsia" w:ascii="宋体" w:hAnsi="宋体" w:eastAsia="宋体"/>
          <w:szCs w:val="21"/>
        </w:rPr>
        <w:t>%。从环比口径看，</w:t>
      </w:r>
      <w:r>
        <w:rPr>
          <w:rFonts w:ascii="宋体" w:hAnsi="宋体" w:eastAsia="宋体"/>
          <w:szCs w:val="21"/>
        </w:rPr>
        <w:t>6</w:t>
      </w:r>
      <w:r>
        <w:rPr>
          <w:rFonts w:hint="eastAsia" w:ascii="宋体" w:hAnsi="宋体" w:eastAsia="宋体"/>
          <w:szCs w:val="21"/>
        </w:rPr>
        <w:t>月第一周的环比下降</w:t>
      </w:r>
      <w:r>
        <w:rPr>
          <w:rFonts w:ascii="宋体" w:hAnsi="宋体" w:eastAsia="宋体"/>
          <w:szCs w:val="21"/>
        </w:rPr>
        <w:t>20</w:t>
      </w:r>
      <w:r>
        <w:rPr>
          <w:rFonts w:hint="eastAsia" w:ascii="宋体" w:hAnsi="宋体" w:eastAsia="宋体"/>
          <w:szCs w:val="21"/>
        </w:rPr>
        <w:t>%，走势稍有回落的态势。</w:t>
      </w:r>
    </w:p>
    <w:p>
      <w:pPr>
        <w:ind w:firstLine="567" w:firstLineChars="270"/>
        <w:rPr>
          <w:rFonts w:ascii="宋体" w:hAnsi="宋体" w:eastAsia="宋体"/>
          <w:szCs w:val="21"/>
        </w:rPr>
      </w:pPr>
      <w:r>
        <w:rPr>
          <w:rFonts w:hint="eastAsia" w:ascii="宋体" w:hAnsi="宋体" w:eastAsia="宋体"/>
          <w:szCs w:val="21"/>
        </w:rPr>
        <w:t>随着</w:t>
      </w:r>
      <w:r>
        <w:rPr>
          <w:rFonts w:ascii="宋体" w:hAnsi="宋体" w:eastAsia="宋体"/>
          <w:szCs w:val="21"/>
        </w:rPr>
        <w:t>3-5月刚需以及之前被抑制的需求基本得到释放，</w:t>
      </w:r>
      <w:r>
        <w:rPr>
          <w:rFonts w:hint="eastAsia" w:ascii="宋体" w:hAnsi="宋体" w:eastAsia="宋体"/>
          <w:szCs w:val="21"/>
        </w:rPr>
        <w:t>再</w:t>
      </w:r>
      <w:r>
        <w:rPr>
          <w:rFonts w:ascii="宋体" w:hAnsi="宋体" w:eastAsia="宋体"/>
          <w:szCs w:val="21"/>
        </w:rPr>
        <w:t>加上6月气温快速升高，是</w:t>
      </w:r>
      <w:r>
        <w:rPr>
          <w:rFonts w:hint="eastAsia" w:ascii="宋体" w:hAnsi="宋体" w:eastAsia="宋体"/>
          <w:szCs w:val="21"/>
        </w:rPr>
        <w:t>市场</w:t>
      </w:r>
      <w:r>
        <w:rPr>
          <w:rFonts w:ascii="宋体" w:hAnsi="宋体" w:eastAsia="宋体"/>
          <w:szCs w:val="21"/>
        </w:rPr>
        <w:t>传统淡季月份，销量将回落。6月国内绝大部分学生已经返校复课，城市家庭购车代步的需求动力减弱，车市环比增长动力减弱。</w:t>
      </w:r>
      <w:r>
        <w:rPr>
          <w:rFonts w:hint="eastAsia" w:ascii="宋体" w:hAnsi="宋体" w:eastAsia="宋体"/>
          <w:szCs w:val="21"/>
        </w:rPr>
        <w:t>今年</w:t>
      </w:r>
      <w:r>
        <w:rPr>
          <w:rFonts w:ascii="宋体" w:hAnsi="宋体" w:eastAsia="宋体"/>
          <w:szCs w:val="21"/>
        </w:rPr>
        <w:t>6</w:t>
      </w:r>
      <w:r>
        <w:rPr>
          <w:rFonts w:hint="eastAsia" w:ascii="宋体" w:hAnsi="宋体" w:eastAsia="宋体"/>
          <w:szCs w:val="21"/>
        </w:rPr>
        <w:t>月的第一周零售走势平稳，相对前期每月第一周同比下滑较大的情况，今年</w:t>
      </w:r>
      <w:r>
        <w:rPr>
          <w:rFonts w:ascii="宋体" w:hAnsi="宋体" w:eastAsia="宋体"/>
          <w:szCs w:val="21"/>
        </w:rPr>
        <w:t>6</w:t>
      </w:r>
      <w:r>
        <w:rPr>
          <w:rFonts w:hint="eastAsia" w:ascii="宋体" w:hAnsi="宋体" w:eastAsia="宋体"/>
          <w:szCs w:val="21"/>
        </w:rPr>
        <w:t>月初走势明显不强。</w:t>
      </w:r>
    </w:p>
    <w:p>
      <w:pPr>
        <w:ind w:firstLine="567" w:firstLineChars="270"/>
        <w:rPr>
          <w:rFonts w:ascii="Calibri" w:hAnsi="Calibri" w:eastAsia="宋体" w:cs="Times New Roman"/>
          <w:szCs w:val="21"/>
        </w:rPr>
      </w:pPr>
    </w:p>
    <w:p>
      <w:pPr>
        <w:keepNext w:val="0"/>
        <w:keepLines w:val="0"/>
        <w:pageBreakBefore w:val="0"/>
        <w:widowControl w:val="0"/>
        <w:numPr>
          <w:ilvl w:val="0"/>
          <w:numId w:val="2"/>
        </w:numPr>
        <w:kinsoku/>
        <w:wordWrap/>
        <w:overflowPunct/>
        <w:topLinePunct w:val="0"/>
        <w:autoSpaceDE/>
        <w:autoSpaceDN/>
        <w:bidi w:val="0"/>
        <w:adjustRightInd/>
        <w:snapToGrid/>
        <w:textAlignment w:val="auto"/>
        <w:outlineLvl w:val="1"/>
        <w:rPr>
          <w:rFonts w:cs="黑体" w:asciiTheme="minorEastAsia" w:hAnsiTheme="minorEastAsia"/>
          <w:bCs/>
          <w:szCs w:val="21"/>
        </w:rPr>
      </w:pPr>
      <w:r>
        <w:rPr>
          <w:rFonts w:hint="eastAsia" w:ascii="黑体" w:hAnsi="黑体" w:eastAsia="黑体" w:cs="Times New Roman"/>
          <w:bCs/>
          <w:sz w:val="24"/>
        </w:rPr>
        <w:t>6月乘用车市场批发表现超强</w:t>
      </w:r>
    </w:p>
    <w:p>
      <w:pPr>
        <w:keepNext w:val="0"/>
        <w:keepLines w:val="0"/>
        <w:pageBreakBefore w:val="0"/>
        <w:widowControl w:val="0"/>
        <w:numPr>
          <w:numId w:val="0"/>
        </w:numPr>
        <w:kinsoku/>
        <w:wordWrap/>
        <w:overflowPunct/>
        <w:topLinePunct w:val="0"/>
        <w:autoSpaceDE/>
        <w:autoSpaceDN/>
        <w:bidi w:val="0"/>
        <w:adjustRightInd/>
        <w:snapToGrid/>
        <w:ind w:leftChars="0"/>
        <w:jc w:val="center"/>
        <w:textAlignment w:val="auto"/>
        <w:outlineLvl w:val="1"/>
        <w:rPr>
          <w:rFonts w:hint="eastAsia" w:cs="黑体" w:asciiTheme="minorEastAsia" w:hAnsiTheme="minorEastAsia" w:eastAsiaTheme="minorEastAsia"/>
          <w:bCs/>
          <w:szCs w:val="21"/>
          <w:lang w:eastAsia="zh-CN"/>
        </w:rPr>
      </w:pPr>
      <w:bookmarkStart w:id="2" w:name="_GoBack"/>
      <w:r>
        <w:rPr>
          <w:rFonts w:hint="eastAsia" w:cs="黑体" w:asciiTheme="minorEastAsia" w:hAnsiTheme="minorEastAsia" w:eastAsiaTheme="minorEastAsia"/>
          <w:bCs/>
          <w:szCs w:val="21"/>
          <w:lang w:eastAsia="zh-CN"/>
        </w:rPr>
        <w:drawing>
          <wp:inline distT="0" distB="0" distL="114300" distR="114300">
            <wp:extent cx="3692525" cy="2915285"/>
            <wp:effectExtent l="0" t="0" r="3175" b="18415"/>
            <wp:docPr id="5" name="图片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pic:cNvPicPr>
                      <a:picLocks noChangeAspect="1"/>
                    </pic:cNvPicPr>
                  </pic:nvPicPr>
                  <pic:blipFill>
                    <a:blip r:embed="rId6"/>
                    <a:stretch>
                      <a:fillRect/>
                    </a:stretch>
                  </pic:blipFill>
                  <pic:spPr>
                    <a:xfrm>
                      <a:off x="0" y="0"/>
                      <a:ext cx="3692525" cy="2915285"/>
                    </a:xfrm>
                    <a:prstGeom prst="rect">
                      <a:avLst/>
                    </a:prstGeom>
                  </pic:spPr>
                </pic:pic>
              </a:graphicData>
            </a:graphic>
          </wp:inline>
        </w:drawing>
      </w:r>
      <w:bookmarkEnd w:id="2"/>
    </w:p>
    <w:p>
      <w:pPr>
        <w:keepNext w:val="0"/>
        <w:keepLines w:val="0"/>
        <w:pageBreakBefore w:val="0"/>
        <w:widowControl w:val="0"/>
        <w:kinsoku/>
        <w:wordWrap/>
        <w:overflowPunct/>
        <w:topLinePunct w:val="0"/>
        <w:autoSpaceDE/>
        <w:autoSpaceDN/>
        <w:bidi w:val="0"/>
        <w:adjustRightInd/>
        <w:snapToGrid/>
        <w:ind w:firstLine="567" w:firstLineChars="270"/>
        <w:textAlignment w:val="auto"/>
        <w:rPr>
          <w:rFonts w:ascii="宋体" w:hAnsi="宋体" w:eastAsia="宋体"/>
          <w:szCs w:val="21"/>
        </w:rPr>
      </w:pPr>
      <w:r>
        <w:rPr>
          <w:rFonts w:ascii="宋体" w:hAnsi="宋体" w:eastAsia="宋体"/>
          <w:szCs w:val="21"/>
        </w:rPr>
        <w:t>6</w:t>
      </w:r>
      <w:r>
        <w:rPr>
          <w:rFonts w:hint="eastAsia" w:ascii="宋体" w:hAnsi="宋体" w:eastAsia="宋体"/>
          <w:szCs w:val="21"/>
        </w:rPr>
        <w:t>月第一周（1</w:t>
      </w:r>
      <w:r>
        <w:rPr>
          <w:rFonts w:ascii="宋体" w:hAnsi="宋体" w:eastAsia="宋体"/>
          <w:szCs w:val="21"/>
        </w:rPr>
        <w:t>-7</w:t>
      </w:r>
      <w:r>
        <w:rPr>
          <w:rFonts w:hint="eastAsia" w:ascii="宋体" w:hAnsi="宋体" w:eastAsia="宋体"/>
          <w:szCs w:val="21"/>
        </w:rPr>
        <w:t>日）的乘用车市场批发表现很强，第一周日均零售</w:t>
      </w:r>
      <w:r>
        <w:rPr>
          <w:rFonts w:ascii="宋体" w:hAnsi="宋体" w:eastAsia="宋体"/>
          <w:szCs w:val="21"/>
        </w:rPr>
        <w:t>3.37</w:t>
      </w:r>
      <w:r>
        <w:rPr>
          <w:rFonts w:hint="eastAsia" w:ascii="宋体" w:hAnsi="宋体" w:eastAsia="宋体"/>
          <w:szCs w:val="21"/>
        </w:rPr>
        <w:t>万辆，同比增速增长6</w:t>
      </w:r>
      <w:r>
        <w:rPr>
          <w:rFonts w:ascii="宋体" w:hAnsi="宋体" w:eastAsia="宋体"/>
          <w:szCs w:val="21"/>
        </w:rPr>
        <w:t>0</w:t>
      </w:r>
      <w:r>
        <w:rPr>
          <w:rFonts w:hint="eastAsia" w:ascii="宋体" w:hAnsi="宋体" w:eastAsia="宋体"/>
          <w:szCs w:val="21"/>
        </w:rPr>
        <w:t>%。从环比口径看，</w:t>
      </w:r>
      <w:r>
        <w:rPr>
          <w:rFonts w:ascii="宋体" w:hAnsi="宋体" w:eastAsia="宋体"/>
          <w:szCs w:val="21"/>
        </w:rPr>
        <w:t>6</w:t>
      </w:r>
      <w:r>
        <w:rPr>
          <w:rFonts w:hint="eastAsia" w:ascii="宋体" w:hAnsi="宋体" w:eastAsia="宋体"/>
          <w:szCs w:val="21"/>
        </w:rPr>
        <w:t>月第一周的环比增长1</w:t>
      </w:r>
      <w:r>
        <w:rPr>
          <w:rFonts w:ascii="宋体" w:hAnsi="宋体" w:eastAsia="宋体"/>
          <w:szCs w:val="21"/>
        </w:rPr>
        <w:t>9</w:t>
      </w:r>
      <w:r>
        <w:rPr>
          <w:rFonts w:hint="eastAsia" w:ascii="宋体" w:hAnsi="宋体" w:eastAsia="宋体"/>
          <w:szCs w:val="21"/>
        </w:rPr>
        <w:t>%，走势较强，这也是6月第一周工作日多的体现。</w:t>
      </w:r>
    </w:p>
    <w:p>
      <w:pPr>
        <w:keepNext w:val="0"/>
        <w:keepLines w:val="0"/>
        <w:pageBreakBefore w:val="0"/>
        <w:widowControl w:val="0"/>
        <w:kinsoku/>
        <w:wordWrap/>
        <w:overflowPunct/>
        <w:topLinePunct w:val="0"/>
        <w:autoSpaceDE/>
        <w:autoSpaceDN/>
        <w:bidi w:val="0"/>
        <w:adjustRightInd/>
        <w:snapToGrid/>
        <w:ind w:firstLine="567" w:firstLineChars="270"/>
        <w:textAlignment w:val="auto"/>
        <w:rPr>
          <w:rFonts w:ascii="宋体" w:hAnsi="宋体" w:eastAsia="宋体"/>
          <w:szCs w:val="21"/>
        </w:rPr>
      </w:pPr>
      <w:r>
        <w:rPr>
          <w:rFonts w:hint="eastAsia" w:ascii="宋体" w:hAnsi="宋体" w:eastAsia="宋体"/>
          <w:szCs w:val="21"/>
        </w:rPr>
        <w:t>今年</w:t>
      </w:r>
      <w:r>
        <w:rPr>
          <w:rFonts w:ascii="宋体" w:hAnsi="宋体" w:eastAsia="宋体"/>
          <w:szCs w:val="21"/>
        </w:rPr>
        <w:t>6</w:t>
      </w:r>
      <w:r>
        <w:rPr>
          <w:rFonts w:hint="eastAsia" w:ascii="宋体" w:hAnsi="宋体" w:eastAsia="宋体"/>
          <w:szCs w:val="21"/>
        </w:rPr>
        <w:t>月的第一周批发走势相对恢复较强特征，主要是去年的第一周受到国五清库存的冲击巨大，经销商甩卖旧车损失大，新车进货不积极，因此今年的6月初大涨属于正常的修复现象。</w:t>
      </w:r>
    </w:p>
    <w:p>
      <w:pPr>
        <w:ind w:firstLine="648" w:firstLineChars="270"/>
        <w:rPr>
          <w:rFonts w:ascii="黑体" w:hAnsi="黑体" w:eastAsia="黑体" w:cs="黑体"/>
          <w:bCs/>
          <w:sz w:val="24"/>
        </w:rPr>
      </w:pPr>
    </w:p>
    <w:p>
      <w:pPr>
        <w:numPr>
          <w:ilvl w:val="0"/>
          <w:numId w:val="2"/>
        </w:numPr>
        <w:outlineLvl w:val="1"/>
        <w:rPr>
          <w:rFonts w:ascii="黑体" w:hAnsi="黑体" w:eastAsia="黑体" w:cs="黑体"/>
          <w:bCs/>
          <w:sz w:val="24"/>
        </w:rPr>
      </w:pPr>
      <w:r>
        <w:rPr>
          <w:rFonts w:ascii="黑体" w:hAnsi="黑体" w:eastAsia="黑体" w:cs="黑体"/>
          <w:bCs/>
          <w:sz w:val="24"/>
        </w:rPr>
        <w:t>2020年4月中国占世界新能源车57%</w:t>
      </w:r>
    </w:p>
    <w:p>
      <w:pPr>
        <w:ind w:firstLine="424" w:firstLineChars="202"/>
        <w:rPr>
          <w:rFonts w:cs="黑体" w:asciiTheme="minorEastAsia" w:hAnsiTheme="minorEastAsia"/>
          <w:bCs/>
          <w:szCs w:val="21"/>
        </w:rPr>
      </w:pPr>
      <w:r>
        <w:rPr>
          <w:rFonts w:cs="黑体" w:asciiTheme="minorEastAsia" w:hAnsiTheme="minorEastAsia"/>
          <w:bCs/>
          <w:szCs w:val="21"/>
        </w:rPr>
        <w:t>2019年全球广义新能源乘用车销量达到440万</w:t>
      </w:r>
      <w:r>
        <w:rPr>
          <w:rFonts w:hint="eastAsia" w:cs="黑体" w:asciiTheme="minorEastAsia" w:hAnsiTheme="minorEastAsia"/>
          <w:bCs/>
          <w:szCs w:val="21"/>
        </w:rPr>
        <w:t>辆</w:t>
      </w:r>
      <w:r>
        <w:rPr>
          <w:rFonts w:cs="黑体" w:asciiTheme="minorEastAsia" w:hAnsiTheme="minorEastAsia"/>
          <w:bCs/>
          <w:szCs w:val="21"/>
        </w:rPr>
        <w:t>，同比增速达到10%。其中插混、纯电动、燃料电池的狭义新能源车全球销量达到211万</w:t>
      </w:r>
      <w:r>
        <w:rPr>
          <w:rFonts w:hint="eastAsia" w:cs="黑体" w:asciiTheme="minorEastAsia" w:hAnsiTheme="minorEastAsia"/>
          <w:bCs/>
          <w:szCs w:val="21"/>
        </w:rPr>
        <w:t>辆</w:t>
      </w:r>
      <w:r>
        <w:rPr>
          <w:rFonts w:cs="黑体" w:asciiTheme="minorEastAsia" w:hAnsiTheme="minorEastAsia"/>
          <w:bCs/>
          <w:szCs w:val="21"/>
        </w:rPr>
        <w:t>，同比增长8%。中国新能源乘用车19年的世界份额达到51%。</w:t>
      </w:r>
    </w:p>
    <w:p>
      <w:pPr>
        <w:ind w:firstLine="424" w:firstLineChars="202"/>
        <w:rPr>
          <w:rFonts w:cs="黑体" w:asciiTheme="minorEastAsia" w:hAnsiTheme="minorEastAsia"/>
          <w:bCs/>
          <w:szCs w:val="21"/>
        </w:rPr>
      </w:pPr>
      <w:r>
        <w:rPr>
          <w:rFonts w:cs="黑体" w:asciiTheme="minorEastAsia" w:hAnsiTheme="minorEastAsia"/>
          <w:bCs/>
          <w:szCs w:val="21"/>
        </w:rPr>
        <w:t>但2020年1-3月受到政策环境与疫情等影响，中国新能源车市场世界地位下降，美国与欧洲超越态势明显。4月的中国新能源车市场逐步恢复，但海外疫情影响下的欧美新能源</w:t>
      </w:r>
      <w:r>
        <w:rPr>
          <w:rFonts w:hint="eastAsia" w:cs="黑体" w:asciiTheme="minorEastAsia" w:hAnsiTheme="minorEastAsia"/>
          <w:bCs/>
          <w:szCs w:val="21"/>
        </w:rPr>
        <w:t>市场</w:t>
      </w:r>
      <w:r>
        <w:rPr>
          <w:rFonts w:cs="黑体" w:asciiTheme="minorEastAsia" w:hAnsiTheme="minorEastAsia"/>
          <w:bCs/>
          <w:szCs w:val="21"/>
        </w:rPr>
        <w:t>低迷，4月中国占世界新能源车57%创出新高</w:t>
      </w:r>
      <w:r>
        <w:rPr>
          <w:rFonts w:hint="eastAsia" w:cs="黑体" w:asciiTheme="minorEastAsia" w:hAnsiTheme="minorEastAsia"/>
          <w:bCs/>
          <w:szCs w:val="21"/>
        </w:rPr>
        <w:t>，但这样的趋势难以持续。</w:t>
      </w:r>
    </w:p>
    <w:p>
      <w:pPr>
        <w:ind w:firstLine="424" w:firstLineChars="202"/>
        <w:rPr>
          <w:rFonts w:cs="黑体" w:asciiTheme="minorEastAsia" w:hAnsiTheme="minorEastAsia"/>
          <w:bCs/>
          <w:szCs w:val="21"/>
        </w:rPr>
      </w:pPr>
    </w:p>
    <w:p>
      <w:pPr>
        <w:numPr>
          <w:ilvl w:val="0"/>
          <w:numId w:val="2"/>
        </w:numPr>
        <w:outlineLvl w:val="1"/>
        <w:rPr>
          <w:rFonts w:ascii="黑体" w:hAnsi="黑体" w:eastAsia="黑体" w:cs="黑体"/>
          <w:bCs/>
          <w:sz w:val="24"/>
        </w:rPr>
      </w:pPr>
      <w:r>
        <w:rPr>
          <w:rFonts w:hint="eastAsia" w:ascii="黑体" w:hAnsi="黑体" w:eastAsia="黑体" w:cs="黑体"/>
          <w:bCs/>
          <w:sz w:val="24"/>
        </w:rPr>
        <w:t>新能源车专属保险是促消费重要举措</w:t>
      </w:r>
    </w:p>
    <w:p>
      <w:pPr>
        <w:ind w:firstLine="283" w:firstLineChars="135"/>
        <w:rPr>
          <w:rFonts w:cs="黑体" w:asciiTheme="minorEastAsia" w:hAnsiTheme="minorEastAsia"/>
          <w:bCs/>
          <w:szCs w:val="21"/>
        </w:rPr>
      </w:pPr>
      <w:r>
        <w:rPr>
          <w:rFonts w:hint="eastAsia" w:cs="黑体" w:asciiTheme="minorEastAsia" w:hAnsiTheme="minorEastAsia"/>
          <w:bCs/>
          <w:szCs w:val="21"/>
        </w:rPr>
        <w:t>2</w:t>
      </w:r>
      <w:r>
        <w:rPr>
          <w:rFonts w:cs="黑体" w:asciiTheme="minorEastAsia" w:hAnsiTheme="minorEastAsia"/>
          <w:bCs/>
          <w:szCs w:val="21"/>
        </w:rPr>
        <w:t>020</w:t>
      </w:r>
      <w:r>
        <w:rPr>
          <w:rFonts w:hint="eastAsia" w:cs="黑体" w:asciiTheme="minorEastAsia" w:hAnsiTheme="minorEastAsia"/>
          <w:bCs/>
          <w:szCs w:val="21"/>
        </w:rPr>
        <w:t>年新能源车市场压力巨大，新能源车的性价比持续下降，中低端新能源车的日子艰难。由于国际油价的持续下行，新能源车与传统车的性价比优势持续降低。而国家补贴的快速降低，虽然厂家指导价变化不大，但经销商的实际市场价格小幅上升，消费者选择新能源车热情降低。而新能源车的保险偏贵，不如传统车保险费用低，赔付的力度偏小，让更多消费者不乐于选择新能源车。</w:t>
      </w:r>
    </w:p>
    <w:p>
      <w:pPr>
        <w:rPr>
          <w:rFonts w:ascii="黑体" w:hAnsi="黑体" w:eastAsia="黑体" w:cs="黑体"/>
          <w:bCs/>
          <w:sz w:val="24"/>
        </w:rPr>
      </w:pPr>
    </w:p>
    <w:p>
      <w:pPr>
        <w:numPr>
          <w:ilvl w:val="0"/>
          <w:numId w:val="2"/>
        </w:numPr>
        <w:outlineLvl w:val="1"/>
        <w:rPr>
          <w:rFonts w:ascii="黑体" w:hAnsi="黑体" w:eastAsia="黑体" w:cs="黑体"/>
          <w:bCs/>
          <w:sz w:val="24"/>
        </w:rPr>
      </w:pPr>
      <w:r>
        <w:rPr>
          <w:rFonts w:hint="eastAsia" w:ascii="黑体" w:hAnsi="黑体" w:eastAsia="黑体" w:cs="黑体"/>
          <w:bCs/>
          <w:sz w:val="24"/>
        </w:rPr>
        <w:t>经销商代理模式待观察</w:t>
      </w:r>
    </w:p>
    <w:p>
      <w:pPr>
        <w:ind w:firstLine="281" w:firstLineChars="134"/>
        <w:rPr>
          <w:rFonts w:cs="黑体" w:asciiTheme="minorEastAsia" w:hAnsiTheme="minorEastAsia"/>
          <w:bCs/>
          <w:szCs w:val="21"/>
        </w:rPr>
      </w:pPr>
      <w:r>
        <w:rPr>
          <w:rFonts w:hint="eastAsia" w:cs="黑体" w:asciiTheme="minorEastAsia" w:hAnsiTheme="minorEastAsia"/>
          <w:bCs/>
          <w:szCs w:val="21"/>
        </w:rPr>
        <w:t>据报道对于有意购买其</w:t>
      </w:r>
      <w:r>
        <w:rPr>
          <w:rFonts w:cs="黑体" w:asciiTheme="minorEastAsia" w:hAnsiTheme="minorEastAsia"/>
          <w:bCs/>
          <w:szCs w:val="21"/>
        </w:rPr>
        <w:t>电动汽车的德国消费者，</w:t>
      </w:r>
      <w:r>
        <w:rPr>
          <w:rFonts w:hint="eastAsia" w:cs="黑体" w:asciiTheme="minorEastAsia" w:hAnsiTheme="minorEastAsia"/>
          <w:bCs/>
          <w:szCs w:val="21"/>
        </w:rPr>
        <w:t>德国消费者可以直接将订单提交给厂家，然后再选择当地的经销商，后者将扮演代理商的角色。经销商将为消费者提供试驾、完成交易以及车辆交付等服务。在这种模式下，车辆的价格将全国统一，经销商可以获得固定的佣金。</w:t>
      </w:r>
    </w:p>
    <w:p>
      <w:pPr>
        <w:ind w:firstLine="281" w:firstLineChars="134"/>
        <w:rPr>
          <w:rFonts w:cs="黑体" w:asciiTheme="minorEastAsia" w:hAnsiTheme="minorEastAsia"/>
          <w:bCs/>
          <w:szCs w:val="21"/>
        </w:rPr>
      </w:pPr>
      <w:r>
        <w:rPr>
          <w:rFonts w:hint="eastAsia" w:cs="黑体" w:asciiTheme="minorEastAsia" w:hAnsiTheme="minorEastAsia"/>
          <w:bCs/>
          <w:szCs w:val="21"/>
        </w:rPr>
        <w:t>这种模式是新车初级阶段的销售模式，厂家容易灵活调整价格促销。改变了区域的封闭性销售特征，对于经销商的销量考核难以落实，经销商与客户的接触是在销售合同完成后，很多的销售附加服务因此损失较大。除了汽车外，国内几乎没有仅靠线上实现购销服务的产品。</w:t>
      </w:r>
    </w:p>
    <w:p>
      <w:pPr>
        <w:ind w:firstLine="281" w:firstLineChars="134"/>
        <w:rPr>
          <w:rFonts w:cs="黑体" w:asciiTheme="minorEastAsia" w:hAnsiTheme="minorEastAsia"/>
          <w:bCs/>
          <w:szCs w:val="21"/>
        </w:rPr>
      </w:pPr>
      <w:r>
        <w:rPr>
          <w:rFonts w:hint="eastAsia" w:cs="黑体" w:asciiTheme="minorEastAsia" w:hAnsiTheme="minorEastAsia"/>
          <w:bCs/>
          <w:szCs w:val="21"/>
        </w:rPr>
        <w:t>从苹果的销售看，如果你不差钱，又想图省心，别犹豫，直接从苹果官网、京东和天猫苹果自营店入手</w:t>
      </w:r>
      <w:r>
        <w:rPr>
          <w:rFonts w:cs="黑体" w:asciiTheme="minorEastAsia" w:hAnsiTheme="minorEastAsia"/>
          <w:bCs/>
          <w:szCs w:val="21"/>
        </w:rPr>
        <w:t>。决定买iPhone了，但是又想占点小便宜，对于这类人，不嫌麻烦的话，就去线下经销商那去买吧，因为他们那的售价足够诱人。</w:t>
      </w:r>
      <w:r>
        <w:rPr>
          <w:rFonts w:hint="eastAsia" w:cs="黑体" w:asciiTheme="minorEastAsia" w:hAnsiTheme="minorEastAsia"/>
          <w:bCs/>
          <w:szCs w:val="21"/>
        </w:rPr>
        <w:t>对于如此简单清晰的苹果产品，渠道多元化都是必然的选择。何况汽车等复杂产品，电商销售的效果很难理想。</w:t>
      </w:r>
    </w:p>
    <w:p>
      <w:pPr>
        <w:ind w:firstLine="281" w:firstLineChars="134"/>
        <w:rPr>
          <w:rFonts w:cs="黑体" w:asciiTheme="minorEastAsia" w:hAnsiTheme="minorEastAsia"/>
          <w:bCs/>
          <w:szCs w:val="21"/>
        </w:rPr>
      </w:pPr>
    </w:p>
    <w:p>
      <w:pPr>
        <w:rPr>
          <w:rFonts w:cs="黑体" w:asciiTheme="minorEastAsia" w:hAnsiTheme="minorEastAsia"/>
          <w:bCs/>
          <w:szCs w:val="21"/>
        </w:rPr>
      </w:pPr>
    </w:p>
    <w:p>
      <w:pPr>
        <w:rPr>
          <w:rFonts w:cs="黑体" w:asciiTheme="minorEastAsia" w:hAnsiTheme="minorEastAsia"/>
          <w:bCs/>
          <w:szCs w:val="21"/>
        </w:rPr>
      </w:pPr>
    </w:p>
    <w:p>
      <w:pPr>
        <w:outlineLvl w:val="0"/>
        <w:rPr>
          <w:b/>
        </w:rPr>
      </w:pPr>
      <w:r>
        <w:rPr>
          <w:rFonts w:hint="eastAsia"/>
          <w:b/>
        </w:rPr>
        <w:t>二、</w:t>
      </w:r>
      <w:r>
        <w:rPr>
          <w:rFonts w:hint="eastAsia" w:cs="宋体"/>
          <w:b/>
          <w:bCs/>
        </w:rPr>
        <w:t>本周上市新车</w:t>
      </w:r>
    </w:p>
    <w:p>
      <w:pPr>
        <w:pStyle w:val="8"/>
        <w:numPr>
          <w:ilvl w:val="0"/>
          <w:numId w:val="3"/>
        </w:numPr>
        <w:ind w:firstLineChars="0"/>
        <w:outlineLvl w:val="1"/>
        <w:rPr>
          <w:b/>
        </w:rPr>
      </w:pPr>
      <w:r>
        <w:rPr>
          <w:b/>
        </w:rPr>
        <w:t xml:space="preserve">奥迪Q3Sportback </w:t>
      </w:r>
    </w:p>
    <w:tbl>
      <w:tblPr>
        <w:tblStyle w:val="4"/>
        <w:tblW w:w="0" w:type="auto"/>
        <w:tblCellSpacing w:w="15" w:type="dxa"/>
        <w:tblInd w:w="0" w:type="dxa"/>
        <w:tblLayout w:type="autofit"/>
        <w:tblCellMar>
          <w:top w:w="15" w:type="dxa"/>
          <w:left w:w="15" w:type="dxa"/>
          <w:bottom w:w="15" w:type="dxa"/>
          <w:right w:w="15" w:type="dxa"/>
        </w:tblCellMar>
      </w:tblPr>
      <w:tblGrid>
        <w:gridCol w:w="4650"/>
      </w:tblGrid>
      <w:tr>
        <w:tblPrEx>
          <w:tblCellMar>
            <w:top w:w="15" w:type="dxa"/>
            <w:left w:w="15" w:type="dxa"/>
            <w:bottom w:w="15" w:type="dxa"/>
            <w:right w:w="15" w:type="dxa"/>
          </w:tblCellMar>
        </w:tblPrEx>
        <w:trPr>
          <w:tblCellSpacing w:w="15" w:type="dxa"/>
        </w:trPr>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r>
              <w:rPr>
                <w:rFonts w:ascii="微软雅黑" w:hAnsi="微软雅黑" w:eastAsia="微软雅黑" w:cs="宋体"/>
                <w:color w:val="000000"/>
                <w:kern w:val="0"/>
                <w:sz w:val="27"/>
                <w:szCs w:val="27"/>
              </w:rPr>
              <w:drawing>
                <wp:inline distT="0" distB="0" distL="0" distR="0">
                  <wp:extent cx="2895600" cy="1363980"/>
                  <wp:effectExtent l="0" t="0" r="0" b="7620"/>
                  <wp:docPr id="15" name="图片 15" descr="http://58.246.65.10:8231/UploadFile/2020060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ttp://58.246.65.10:8231/UploadFile/202006010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900031" cy="1366455"/>
                          </a:xfrm>
                          <a:prstGeom prst="rect">
                            <a:avLst/>
                          </a:prstGeom>
                          <a:noFill/>
                          <a:ln>
                            <a:noFill/>
                          </a:ln>
                        </pic:spPr>
                      </pic:pic>
                    </a:graphicData>
                  </a:graphic>
                </wp:inline>
              </w:drawing>
            </w:r>
          </w:p>
        </w:tc>
      </w:tr>
    </w:tbl>
    <w:p>
      <w:r>
        <w:t>5月29日，奥迪Q3Sportback上市，新车共推5款，售价区间为28.73万-36.18万元。</w:t>
      </w:r>
    </w:p>
    <w:p>
      <w:r>
        <w:rPr>
          <w:rFonts w:hint="eastAsia"/>
        </w:rPr>
        <w:t>外观方面，新车采用黑色高亮的蜂窝状中网，尾部采用鸭尾式扰流板，后包围银色饰条设计。</w:t>
      </w:r>
    </w:p>
    <w:p>
      <w:r>
        <w:rPr>
          <w:rFonts w:hint="eastAsia"/>
        </w:rPr>
        <w:t>动力方面，新车搭载</w:t>
      </w:r>
      <w:r>
        <w:t>1.4T和2.0T高低功率发动机，匹配7DCT变速箱。</w:t>
      </w:r>
    </w:p>
    <w:p>
      <w:pPr>
        <w:rPr>
          <w:rFonts w:cs="宋体"/>
          <w:b/>
          <w:bCs/>
          <w:i/>
          <w:iCs/>
        </w:rPr>
      </w:pPr>
      <w:r>
        <w:rPr>
          <w:rFonts w:hint="eastAsia" w:cs="宋体"/>
          <w:b/>
          <w:bCs/>
          <w:i/>
          <w:iCs/>
        </w:rPr>
        <w:t>分析：。</w:t>
      </w:r>
    </w:p>
    <w:p>
      <w:pPr>
        <w:pStyle w:val="8"/>
        <w:numPr>
          <w:ilvl w:val="0"/>
          <w:numId w:val="3"/>
        </w:numPr>
        <w:ind w:firstLineChars="0"/>
        <w:outlineLvl w:val="1"/>
        <w:rPr>
          <w:b/>
        </w:rPr>
      </w:pPr>
      <w:r>
        <w:rPr>
          <w:b/>
        </w:rPr>
        <w:t xml:space="preserve">长安马自达CX-30 </w:t>
      </w:r>
    </w:p>
    <w:tbl>
      <w:tblPr>
        <w:tblStyle w:val="4"/>
        <w:tblW w:w="0" w:type="auto"/>
        <w:tblCellSpacing w:w="15" w:type="dxa"/>
        <w:tblInd w:w="0" w:type="dxa"/>
        <w:tblLayout w:type="autofit"/>
        <w:tblCellMar>
          <w:top w:w="15" w:type="dxa"/>
          <w:left w:w="15" w:type="dxa"/>
          <w:bottom w:w="15" w:type="dxa"/>
          <w:right w:w="15" w:type="dxa"/>
        </w:tblCellMar>
      </w:tblPr>
      <w:tblGrid>
        <w:gridCol w:w="81"/>
        <w:gridCol w:w="4090"/>
        <w:gridCol w:w="81"/>
      </w:tblGrid>
      <w:tr>
        <w:tblPrEx>
          <w:tblCellMar>
            <w:top w:w="15" w:type="dxa"/>
            <w:left w:w="15" w:type="dxa"/>
            <w:bottom w:w="15" w:type="dxa"/>
            <w:right w:w="15" w:type="dxa"/>
          </w:tblCellMar>
        </w:tblPrEx>
        <w:trPr>
          <w:tblCellSpacing w:w="15" w:type="dxa"/>
        </w:trPr>
        <w:tc>
          <w:tcPr>
            <w:tcW w:w="0" w:type="auto"/>
            <w:tcBorders>
              <w:top w:val="nil"/>
              <w:left w:val="nil"/>
              <w:bottom w:val="nil"/>
              <w:right w:val="nil"/>
            </w:tcBorders>
          </w:tcPr>
          <w:p>
            <w:pPr>
              <w:widowControl/>
              <w:jc w:val="left"/>
              <w:rPr>
                <w:rFonts w:ascii="宋体" w:hAnsi="宋体" w:eastAsia="宋体" w:cs="宋体"/>
                <w:kern w:val="0"/>
                <w:sz w:val="24"/>
              </w:rPr>
            </w:pP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r>
              <w:rPr>
                <w:rFonts w:ascii="微软雅黑" w:hAnsi="微软雅黑" w:eastAsia="微软雅黑" w:cs="宋体"/>
                <w:color w:val="000000"/>
                <w:kern w:val="0"/>
                <w:sz w:val="27"/>
                <w:szCs w:val="27"/>
              </w:rPr>
              <w:drawing>
                <wp:inline distT="0" distB="0" distL="0" distR="0">
                  <wp:extent cx="2559050" cy="1240790"/>
                  <wp:effectExtent l="0" t="0" r="0" b="0"/>
                  <wp:docPr id="21" name="图片 21" descr="http://58.246.65.10:8231/UploadFile/202006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http://58.246.65.10:8231/UploadFile/20200601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65405" cy="1244060"/>
                          </a:xfrm>
                          <a:prstGeom prst="rect">
                            <a:avLst/>
                          </a:prstGeom>
                          <a:noFill/>
                          <a:ln>
                            <a:noFill/>
                          </a:ln>
                        </pic:spPr>
                      </pic:pic>
                    </a:graphicData>
                  </a:graphic>
                </wp:inline>
              </w:drawing>
            </w: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p>
        </w:tc>
      </w:tr>
    </w:tbl>
    <w:p>
      <w:r>
        <w:t>5月28日，长安马自达CX-30上市，新车共推8款，售价区间为12.99万-17.19万元。</w:t>
      </w:r>
    </w:p>
    <w:p>
      <w:r>
        <w:rPr>
          <w:rFonts w:hint="eastAsia"/>
        </w:rPr>
        <w:t>外观方面，新车采用点阵式盾形格栅，与两侧大灯组融合，搭配鹰眼式的灯组。</w:t>
      </w:r>
    </w:p>
    <w:p>
      <w:r>
        <w:rPr>
          <w:rFonts w:hint="eastAsia"/>
        </w:rPr>
        <w:t>内饰方面，新车采用不对称中控台设计和三辐式多功能方向盘。</w:t>
      </w:r>
    </w:p>
    <w:p>
      <w:r>
        <w:rPr>
          <w:rFonts w:hint="eastAsia"/>
        </w:rPr>
        <w:t>动力方面，新车搭载</w:t>
      </w:r>
      <w:r>
        <w:t>2.0L发动机，匹配6MT和6TIP变速箱。</w:t>
      </w:r>
    </w:p>
    <w:p>
      <w:pPr>
        <w:rPr>
          <w:rFonts w:cs="宋体"/>
          <w:b/>
          <w:bCs/>
          <w:i/>
          <w:iCs/>
        </w:rPr>
      </w:pPr>
      <w:r>
        <w:rPr>
          <w:rFonts w:hint="eastAsia" w:cs="宋体"/>
          <w:b/>
          <w:bCs/>
          <w:i/>
          <w:iCs/>
        </w:rPr>
        <w:t>分析：。</w:t>
      </w:r>
    </w:p>
    <w:p>
      <w:pPr>
        <w:pStyle w:val="8"/>
        <w:numPr>
          <w:ilvl w:val="0"/>
          <w:numId w:val="3"/>
        </w:numPr>
        <w:ind w:firstLineChars="0"/>
        <w:outlineLvl w:val="1"/>
        <w:rPr>
          <w:b/>
        </w:rPr>
      </w:pPr>
      <w:r>
        <w:rPr>
          <w:b/>
        </w:rPr>
        <w:t>SWM斯威X7冠军版</w:t>
      </w:r>
    </w:p>
    <w:tbl>
      <w:tblPr>
        <w:tblStyle w:val="4"/>
        <w:tblW w:w="0" w:type="auto"/>
        <w:tblCellSpacing w:w="15" w:type="dxa"/>
        <w:tblInd w:w="0" w:type="dxa"/>
        <w:tblLayout w:type="autofit"/>
        <w:tblCellMar>
          <w:top w:w="15" w:type="dxa"/>
          <w:left w:w="15" w:type="dxa"/>
          <w:bottom w:w="15" w:type="dxa"/>
          <w:right w:w="15" w:type="dxa"/>
        </w:tblCellMar>
      </w:tblPr>
      <w:tblGrid>
        <w:gridCol w:w="81"/>
        <w:gridCol w:w="3450"/>
        <w:gridCol w:w="81"/>
      </w:tblGrid>
      <w:tr>
        <w:tblPrEx>
          <w:tblCellMar>
            <w:top w:w="15" w:type="dxa"/>
            <w:left w:w="15" w:type="dxa"/>
            <w:bottom w:w="15" w:type="dxa"/>
            <w:right w:w="15" w:type="dxa"/>
          </w:tblCellMar>
        </w:tblPrEx>
        <w:trPr>
          <w:tblCellSpacing w:w="15" w:type="dxa"/>
        </w:trPr>
        <w:tc>
          <w:tcPr>
            <w:tcW w:w="0" w:type="auto"/>
            <w:tcBorders>
              <w:top w:val="nil"/>
              <w:left w:val="nil"/>
              <w:bottom w:val="nil"/>
              <w:right w:val="nil"/>
            </w:tcBorders>
          </w:tcPr>
          <w:p>
            <w:pPr>
              <w:widowControl/>
              <w:jc w:val="left"/>
              <w:rPr>
                <w:rFonts w:ascii="宋体" w:hAnsi="宋体" w:eastAsia="宋体" w:cs="宋体"/>
                <w:kern w:val="0"/>
                <w:sz w:val="24"/>
              </w:rPr>
            </w:pP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r>
              <w:rPr>
                <w:rFonts w:ascii="微软雅黑" w:hAnsi="微软雅黑" w:eastAsia="微软雅黑" w:cs="宋体"/>
                <w:color w:val="000000"/>
                <w:kern w:val="0"/>
                <w:sz w:val="27"/>
                <w:szCs w:val="27"/>
              </w:rPr>
              <w:drawing>
                <wp:inline distT="0" distB="0" distL="0" distR="0">
                  <wp:extent cx="2146300" cy="1059815"/>
                  <wp:effectExtent l="0" t="0" r="6350" b="6985"/>
                  <wp:docPr id="18" name="图片 18" descr="http://58.246.65.10:8231/UploadFile/2020060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http://58.246.65.10:8231/UploadFile/202006010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51923" cy="1062678"/>
                          </a:xfrm>
                          <a:prstGeom prst="rect">
                            <a:avLst/>
                          </a:prstGeom>
                          <a:noFill/>
                          <a:ln>
                            <a:noFill/>
                          </a:ln>
                        </pic:spPr>
                      </pic:pic>
                    </a:graphicData>
                  </a:graphic>
                </wp:inline>
              </w:drawing>
            </w: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p>
        </w:tc>
      </w:tr>
    </w:tbl>
    <w:p>
      <w:r>
        <w:t>5月29日，SWM斯威X7冠军版车型上市，新车售价为6.39万元。</w:t>
      </w:r>
    </w:p>
    <w:p>
      <w:r>
        <w:rPr>
          <w:rFonts w:hint="eastAsia"/>
        </w:rPr>
        <w:t>外观方面，新车与现款车型基本保持一致。</w:t>
      </w:r>
    </w:p>
    <w:p>
      <w:r>
        <w:rPr>
          <w:rFonts w:hint="eastAsia"/>
        </w:rPr>
        <w:t>内饰方面，新车采用</w:t>
      </w:r>
      <w:r>
        <w:t>12英寸的触控屏。</w:t>
      </w:r>
    </w:p>
    <w:p>
      <w:r>
        <w:rPr>
          <w:rFonts w:hint="eastAsia"/>
        </w:rPr>
        <w:t>配置方面，新车配备电动天窗、一键启动系统</w:t>
      </w:r>
      <w:r>
        <w:t>+无钥匙进入、ESP电子车身稳定系统、360度全景影像、胎压监测等。</w:t>
      </w:r>
    </w:p>
    <w:p>
      <w:r>
        <w:rPr>
          <w:rFonts w:hint="eastAsia"/>
        </w:rPr>
        <w:t>动力方面，新车搭载</w:t>
      </w:r>
      <w:r>
        <w:t>2.0L发动机，匹配5MT变速箱。</w:t>
      </w:r>
    </w:p>
    <w:p>
      <w:pPr>
        <w:rPr>
          <w:rFonts w:cs="宋体"/>
          <w:b/>
          <w:bCs/>
          <w:i/>
          <w:iCs/>
        </w:rPr>
      </w:pPr>
      <w:r>
        <w:rPr>
          <w:rFonts w:hint="eastAsia" w:cs="宋体"/>
          <w:b/>
          <w:bCs/>
          <w:i/>
          <w:iCs/>
        </w:rPr>
        <w:t>分析：。</w:t>
      </w:r>
    </w:p>
    <w:p>
      <w:pPr>
        <w:pStyle w:val="8"/>
        <w:numPr>
          <w:ilvl w:val="0"/>
          <w:numId w:val="3"/>
        </w:numPr>
        <w:ind w:firstLineChars="0"/>
        <w:outlineLvl w:val="1"/>
        <w:rPr>
          <w:b/>
        </w:rPr>
      </w:pPr>
      <w:r>
        <w:rPr>
          <w:b/>
        </w:rPr>
        <w:t>奔腾T99运动版</w:t>
      </w:r>
    </w:p>
    <w:tbl>
      <w:tblPr>
        <w:tblStyle w:val="4"/>
        <w:tblW w:w="0" w:type="auto"/>
        <w:tblCellSpacing w:w="15" w:type="dxa"/>
        <w:tblInd w:w="0" w:type="dxa"/>
        <w:tblLayout w:type="autofit"/>
        <w:tblCellMar>
          <w:top w:w="15" w:type="dxa"/>
          <w:left w:w="15" w:type="dxa"/>
          <w:bottom w:w="15" w:type="dxa"/>
          <w:right w:w="15" w:type="dxa"/>
        </w:tblCellMar>
      </w:tblPr>
      <w:tblGrid>
        <w:gridCol w:w="81"/>
        <w:gridCol w:w="3581"/>
        <w:gridCol w:w="81"/>
      </w:tblGrid>
      <w:tr>
        <w:tblPrEx>
          <w:tblCellMar>
            <w:top w:w="15" w:type="dxa"/>
            <w:left w:w="15" w:type="dxa"/>
            <w:bottom w:w="15" w:type="dxa"/>
            <w:right w:w="15" w:type="dxa"/>
          </w:tblCellMar>
        </w:tblPrEx>
        <w:trPr>
          <w:tblCellSpacing w:w="15" w:type="dxa"/>
        </w:trPr>
        <w:tc>
          <w:tcPr>
            <w:tcW w:w="0" w:type="auto"/>
            <w:tcBorders>
              <w:top w:val="nil"/>
              <w:left w:val="nil"/>
              <w:bottom w:val="nil"/>
              <w:right w:val="nil"/>
            </w:tcBorders>
          </w:tcPr>
          <w:p>
            <w:pPr>
              <w:widowControl/>
              <w:jc w:val="left"/>
              <w:rPr>
                <w:rFonts w:ascii="宋体" w:hAnsi="宋体" w:eastAsia="宋体" w:cs="宋体"/>
                <w:kern w:val="0"/>
                <w:sz w:val="24"/>
              </w:rPr>
            </w:pP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r>
              <w:rPr>
                <w:rFonts w:ascii="微软雅黑" w:hAnsi="微软雅黑" w:eastAsia="微软雅黑" w:cs="宋体"/>
                <w:color w:val="000000"/>
                <w:kern w:val="0"/>
                <w:sz w:val="27"/>
                <w:szCs w:val="27"/>
              </w:rPr>
              <w:drawing>
                <wp:inline distT="0" distB="0" distL="0" distR="0">
                  <wp:extent cx="2235835" cy="1123950"/>
                  <wp:effectExtent l="0" t="0" r="0" b="0"/>
                  <wp:docPr id="8" name="图片 8" descr="http://58.246.65.10:8231/UploadFile/2020060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58.246.65.10:8231/UploadFile/20200604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38620" cy="1125280"/>
                          </a:xfrm>
                          <a:prstGeom prst="rect">
                            <a:avLst/>
                          </a:prstGeom>
                          <a:noFill/>
                          <a:ln>
                            <a:noFill/>
                          </a:ln>
                        </pic:spPr>
                      </pic:pic>
                    </a:graphicData>
                  </a:graphic>
                </wp:inline>
              </w:drawing>
            </w: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p>
        </w:tc>
      </w:tr>
    </w:tbl>
    <w:p>
      <w:r>
        <w:t>6月3日，奔腾T99运动版上市，新车共推3款，售价区间为15.99万-17.69万元。</w:t>
      </w:r>
    </w:p>
    <w:p>
      <w:r>
        <w:rPr>
          <w:rFonts w:hint="eastAsia"/>
        </w:rPr>
        <w:t>外观方面，新车采用黑色蜂窝的进气格栅，黑色中网内部加入红</w:t>
      </w:r>
      <w:r>
        <w:t>/黄色元素点缀。</w:t>
      </w:r>
    </w:p>
    <w:p>
      <w:r>
        <w:rPr>
          <w:rFonts w:hint="eastAsia"/>
        </w:rPr>
        <w:t>内饰方面，新车采用三块大尺寸屏幕组成的“</w:t>
      </w:r>
      <w:r>
        <w:t>7”字形设计，水晶风格电子挡杆。</w:t>
      </w:r>
    </w:p>
    <w:p>
      <w:r>
        <w:rPr>
          <w:rFonts w:hint="eastAsia"/>
        </w:rPr>
        <w:t>配置方面，新车配备双区自动空调、感应雨刷、胎压监测、四气囊、真皮方向盘等。</w:t>
      </w:r>
    </w:p>
    <w:p>
      <w:r>
        <w:rPr>
          <w:rFonts w:hint="eastAsia"/>
        </w:rPr>
        <w:t>动力方面，新车搭载</w:t>
      </w:r>
      <w:r>
        <w:t>2.0T发动机，匹配6TIP变速箱。</w:t>
      </w:r>
    </w:p>
    <w:p>
      <w:pPr>
        <w:rPr>
          <w:rFonts w:cs="宋体"/>
          <w:b/>
          <w:bCs/>
          <w:i/>
          <w:iCs/>
        </w:rPr>
      </w:pPr>
      <w:r>
        <w:rPr>
          <w:rFonts w:hint="eastAsia" w:cs="宋体"/>
          <w:b/>
          <w:bCs/>
          <w:i/>
          <w:iCs/>
        </w:rPr>
        <w:t>分析：。</w:t>
      </w:r>
    </w:p>
    <w:p>
      <w:pPr>
        <w:pStyle w:val="8"/>
        <w:numPr>
          <w:ilvl w:val="0"/>
          <w:numId w:val="3"/>
        </w:numPr>
        <w:ind w:firstLineChars="0"/>
        <w:outlineLvl w:val="1"/>
        <w:rPr>
          <w:b/>
        </w:rPr>
      </w:pPr>
      <w:r>
        <w:rPr>
          <w:b/>
        </w:rPr>
        <w:t>别克GL8ES陆尊新车型</w:t>
      </w:r>
    </w:p>
    <w:tbl>
      <w:tblPr>
        <w:tblStyle w:val="4"/>
        <w:tblW w:w="0" w:type="auto"/>
        <w:tblCellSpacing w:w="15" w:type="dxa"/>
        <w:tblInd w:w="0" w:type="dxa"/>
        <w:tblLayout w:type="autofit"/>
        <w:tblCellMar>
          <w:top w:w="15" w:type="dxa"/>
          <w:left w:w="15" w:type="dxa"/>
          <w:bottom w:w="15" w:type="dxa"/>
          <w:right w:w="15" w:type="dxa"/>
        </w:tblCellMar>
      </w:tblPr>
      <w:tblGrid>
        <w:gridCol w:w="81"/>
        <w:gridCol w:w="6040"/>
        <w:gridCol w:w="81"/>
      </w:tblGrid>
      <w:tr>
        <w:tblPrEx>
          <w:tblCellMar>
            <w:top w:w="15" w:type="dxa"/>
            <w:left w:w="15" w:type="dxa"/>
            <w:bottom w:w="15" w:type="dxa"/>
            <w:right w:w="15" w:type="dxa"/>
          </w:tblCellMar>
        </w:tblPrEx>
        <w:trPr>
          <w:tblCellSpacing w:w="15" w:type="dxa"/>
        </w:trPr>
        <w:tc>
          <w:tcPr>
            <w:tcW w:w="0" w:type="auto"/>
            <w:tcBorders>
              <w:top w:val="nil"/>
              <w:left w:val="nil"/>
              <w:bottom w:val="nil"/>
              <w:right w:val="nil"/>
            </w:tcBorders>
          </w:tcPr>
          <w:p>
            <w:pPr>
              <w:widowControl/>
              <w:jc w:val="left"/>
              <w:rPr>
                <w:rFonts w:ascii="宋体" w:hAnsi="宋体" w:eastAsia="宋体" w:cs="宋体"/>
                <w:kern w:val="0"/>
                <w:sz w:val="24"/>
              </w:rPr>
            </w:pP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r>
              <w:rPr>
                <w:rFonts w:ascii="微软雅黑" w:hAnsi="微软雅黑" w:eastAsia="微软雅黑" w:cs="宋体"/>
                <w:color w:val="000000"/>
                <w:kern w:val="0"/>
                <w:sz w:val="27"/>
                <w:szCs w:val="27"/>
              </w:rPr>
              <w:drawing>
                <wp:inline distT="0" distB="0" distL="0" distR="0">
                  <wp:extent cx="3797300" cy="1758950"/>
                  <wp:effectExtent l="0" t="0" r="0" b="0"/>
                  <wp:docPr id="9" name="图片 9" descr="http://58.246.65.10:8231/UploadFile/2020060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58.246.65.10:8231/UploadFile/20200604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798700" cy="1759358"/>
                          </a:xfrm>
                          <a:prstGeom prst="rect">
                            <a:avLst/>
                          </a:prstGeom>
                          <a:noFill/>
                          <a:ln>
                            <a:noFill/>
                          </a:ln>
                        </pic:spPr>
                      </pic:pic>
                    </a:graphicData>
                  </a:graphic>
                </wp:inline>
              </w:drawing>
            </w: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p>
        </w:tc>
      </w:tr>
    </w:tbl>
    <w:p>
      <w:r>
        <w:t>6月3日，别克GL8ES陆尊新车型上市，新车售价为41.99万元。</w:t>
      </w:r>
    </w:p>
    <w:p>
      <w:r>
        <w:rPr>
          <w:rFonts w:hint="eastAsia"/>
        </w:rPr>
        <w:t>外观方面，新车与现款车型基本保持一致。</w:t>
      </w:r>
    </w:p>
    <w:p>
      <w:r>
        <w:rPr>
          <w:rFonts w:hint="eastAsia"/>
        </w:rPr>
        <w:t>配置方面，新车配备智能驾驶辅助包，包含</w:t>
      </w:r>
      <w:r>
        <w:t>LCC、TJA、HOD、ESS、LCA、RCTA、PD和DOW。</w:t>
      </w:r>
    </w:p>
    <w:p>
      <w:r>
        <w:rPr>
          <w:rFonts w:hint="eastAsia"/>
        </w:rPr>
        <w:t>动力方面，新车搭载</w:t>
      </w:r>
      <w:r>
        <w:t>2.0T发动机，匹配9TIP变速箱。</w:t>
      </w:r>
    </w:p>
    <w:p>
      <w:pPr>
        <w:rPr>
          <w:rFonts w:cs="宋体"/>
          <w:b/>
          <w:bCs/>
          <w:i/>
          <w:iCs/>
        </w:rPr>
      </w:pPr>
      <w:r>
        <w:rPr>
          <w:rFonts w:hint="eastAsia" w:cs="宋体"/>
          <w:b/>
          <w:bCs/>
          <w:i/>
          <w:iCs/>
        </w:rPr>
        <w:t>分析：。</w:t>
      </w:r>
    </w:p>
    <w:p>
      <w:pPr>
        <w:pStyle w:val="8"/>
        <w:numPr>
          <w:ilvl w:val="0"/>
          <w:numId w:val="3"/>
        </w:numPr>
        <w:ind w:firstLineChars="0"/>
        <w:outlineLvl w:val="1"/>
        <w:rPr>
          <w:b/>
        </w:rPr>
      </w:pPr>
      <w:r>
        <w:rPr>
          <w:b/>
        </w:rPr>
        <w:t>潍柴U70新车型</w:t>
      </w:r>
    </w:p>
    <w:tbl>
      <w:tblPr>
        <w:tblStyle w:val="4"/>
        <w:tblW w:w="0" w:type="auto"/>
        <w:tblCellSpacing w:w="15" w:type="dxa"/>
        <w:tblInd w:w="0" w:type="dxa"/>
        <w:tblLayout w:type="autofit"/>
        <w:tblCellMar>
          <w:top w:w="15" w:type="dxa"/>
          <w:left w:w="15" w:type="dxa"/>
          <w:bottom w:w="15" w:type="dxa"/>
          <w:right w:w="15" w:type="dxa"/>
        </w:tblCellMar>
      </w:tblPr>
      <w:tblGrid>
        <w:gridCol w:w="81"/>
        <w:gridCol w:w="3480"/>
        <w:gridCol w:w="81"/>
      </w:tblGrid>
      <w:tr>
        <w:tblPrEx>
          <w:tblCellMar>
            <w:top w:w="15" w:type="dxa"/>
            <w:left w:w="15" w:type="dxa"/>
            <w:bottom w:w="15" w:type="dxa"/>
            <w:right w:w="15" w:type="dxa"/>
          </w:tblCellMar>
        </w:tblPrEx>
        <w:trPr>
          <w:tblCellSpacing w:w="15" w:type="dxa"/>
        </w:trPr>
        <w:tc>
          <w:tcPr>
            <w:tcW w:w="0" w:type="auto"/>
            <w:tcBorders>
              <w:top w:val="nil"/>
              <w:left w:val="nil"/>
              <w:bottom w:val="nil"/>
              <w:right w:val="nil"/>
            </w:tcBorders>
          </w:tcPr>
          <w:p>
            <w:pPr>
              <w:widowControl/>
              <w:jc w:val="left"/>
              <w:rPr>
                <w:rFonts w:ascii="宋体" w:hAnsi="宋体" w:eastAsia="宋体" w:cs="宋体"/>
                <w:kern w:val="0"/>
                <w:sz w:val="24"/>
              </w:rPr>
            </w:pP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r>
              <w:rPr>
                <w:rFonts w:ascii="微软雅黑" w:hAnsi="微软雅黑" w:eastAsia="微软雅黑" w:cs="宋体"/>
                <w:color w:val="000000"/>
                <w:kern w:val="0"/>
                <w:sz w:val="27"/>
                <w:szCs w:val="27"/>
              </w:rPr>
              <w:drawing>
                <wp:inline distT="0" distB="0" distL="0" distR="0">
                  <wp:extent cx="2165350" cy="1009650"/>
                  <wp:effectExtent l="0" t="0" r="6350" b="0"/>
                  <wp:docPr id="19" name="图片 19" descr="http://58.246.65.10:8231/UploadFile/202006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http://58.246.65.10:8231/UploadFile/202006010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170093" cy="1012438"/>
                          </a:xfrm>
                          <a:prstGeom prst="rect">
                            <a:avLst/>
                          </a:prstGeom>
                          <a:noFill/>
                          <a:ln>
                            <a:noFill/>
                          </a:ln>
                        </pic:spPr>
                      </pic:pic>
                    </a:graphicData>
                  </a:graphic>
                </wp:inline>
              </w:drawing>
            </w: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p>
        </w:tc>
      </w:tr>
    </w:tbl>
    <w:p>
      <w:r>
        <w:t>5月29日，潍柴U70新车型上市，新车共推2款，售价区间为8.29万-9.49万元。</w:t>
      </w:r>
    </w:p>
    <w:p>
      <w:r>
        <w:rPr>
          <w:rFonts w:hint="eastAsia"/>
        </w:rPr>
        <w:t>外观方面，新车与现款车型基本保持一致。</w:t>
      </w:r>
    </w:p>
    <w:p>
      <w:r>
        <w:rPr>
          <w:rFonts w:hint="eastAsia"/>
        </w:rPr>
        <w:t>配置方面，新车部分车型配备全景天窗、</w:t>
      </w:r>
      <w:r>
        <w:t>GPS导航功能、发动机舱液压撑杆等。</w:t>
      </w:r>
    </w:p>
    <w:p>
      <w:r>
        <w:rPr>
          <w:rFonts w:hint="eastAsia"/>
        </w:rPr>
        <w:t>动力方面，新车搭载</w:t>
      </w:r>
      <w:r>
        <w:t>1.5T发动机，匹配6MT和6TIP变速箱。</w:t>
      </w:r>
    </w:p>
    <w:p>
      <w:pPr>
        <w:rPr>
          <w:rFonts w:cs="宋体"/>
          <w:b/>
          <w:bCs/>
          <w:i/>
          <w:iCs/>
        </w:rPr>
      </w:pPr>
      <w:r>
        <w:rPr>
          <w:rFonts w:hint="eastAsia" w:cs="宋体"/>
          <w:b/>
          <w:bCs/>
          <w:i/>
          <w:iCs/>
        </w:rPr>
        <w:t>分析：。</w:t>
      </w:r>
    </w:p>
    <w:p>
      <w:pPr>
        <w:pStyle w:val="8"/>
        <w:numPr>
          <w:ilvl w:val="0"/>
          <w:numId w:val="3"/>
        </w:numPr>
        <w:ind w:firstLineChars="0"/>
        <w:outlineLvl w:val="1"/>
        <w:rPr>
          <w:b/>
        </w:rPr>
      </w:pPr>
      <w:r>
        <w:rPr>
          <w:b/>
        </w:rPr>
        <w:t xml:space="preserve">新款凯迪拉克XT6 </w:t>
      </w:r>
    </w:p>
    <w:tbl>
      <w:tblPr>
        <w:tblStyle w:val="4"/>
        <w:tblW w:w="0" w:type="auto"/>
        <w:tblCellSpacing w:w="15" w:type="dxa"/>
        <w:tblInd w:w="0" w:type="dxa"/>
        <w:tblLayout w:type="autofit"/>
        <w:tblCellMar>
          <w:top w:w="15" w:type="dxa"/>
          <w:left w:w="15" w:type="dxa"/>
          <w:bottom w:w="15" w:type="dxa"/>
          <w:right w:w="15" w:type="dxa"/>
        </w:tblCellMar>
      </w:tblPr>
      <w:tblGrid>
        <w:gridCol w:w="81"/>
        <w:gridCol w:w="3390"/>
        <w:gridCol w:w="81"/>
      </w:tblGrid>
      <w:tr>
        <w:tblPrEx>
          <w:tblCellMar>
            <w:top w:w="15" w:type="dxa"/>
            <w:left w:w="15" w:type="dxa"/>
            <w:bottom w:w="15" w:type="dxa"/>
            <w:right w:w="15" w:type="dxa"/>
          </w:tblCellMar>
        </w:tblPrEx>
        <w:trPr>
          <w:tblCellSpacing w:w="15" w:type="dxa"/>
        </w:trPr>
        <w:tc>
          <w:tcPr>
            <w:tcW w:w="0" w:type="auto"/>
            <w:tcBorders>
              <w:top w:val="nil"/>
              <w:left w:val="nil"/>
              <w:bottom w:val="nil"/>
              <w:right w:val="nil"/>
            </w:tcBorders>
          </w:tcPr>
          <w:p>
            <w:pPr>
              <w:widowControl/>
              <w:jc w:val="left"/>
              <w:rPr>
                <w:rFonts w:ascii="宋体" w:hAnsi="宋体" w:eastAsia="宋体" w:cs="宋体"/>
                <w:kern w:val="0"/>
                <w:sz w:val="24"/>
              </w:rPr>
            </w:pP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r>
              <w:rPr>
                <w:rFonts w:ascii="微软雅黑" w:hAnsi="微软雅黑" w:eastAsia="微软雅黑" w:cs="宋体"/>
                <w:color w:val="000000"/>
                <w:kern w:val="0"/>
                <w:sz w:val="27"/>
                <w:szCs w:val="27"/>
              </w:rPr>
              <w:drawing>
                <wp:inline distT="0" distB="0" distL="0" distR="0">
                  <wp:extent cx="2105025" cy="1035050"/>
                  <wp:effectExtent l="0" t="0" r="9525" b="0"/>
                  <wp:docPr id="3" name="图片 3" descr="http://58.246.65.10:8231/UploadFile/202006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58.246.65.10:8231/UploadFile/202006020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107591" cy="1036095"/>
                          </a:xfrm>
                          <a:prstGeom prst="rect">
                            <a:avLst/>
                          </a:prstGeom>
                          <a:noFill/>
                          <a:ln>
                            <a:noFill/>
                          </a:ln>
                        </pic:spPr>
                      </pic:pic>
                    </a:graphicData>
                  </a:graphic>
                </wp:inline>
              </w:drawing>
            </w: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p>
        </w:tc>
      </w:tr>
    </w:tbl>
    <w:p>
      <w:r>
        <w:t>6月1日，新款凯迪拉克XT6上市，新车共推8款，售价区间为38.97万-54.97万元。</w:t>
      </w:r>
    </w:p>
    <w:p>
      <w:r>
        <w:rPr>
          <w:rFonts w:hint="eastAsia"/>
        </w:rPr>
        <w:t>外观方面，新车新增缎银车身颜色可选。</w:t>
      </w:r>
    </w:p>
    <w:p>
      <w:r>
        <w:rPr>
          <w:rFonts w:hint="eastAsia"/>
        </w:rPr>
        <w:t>配置方面，新车配备全</w:t>
      </w:r>
      <w:r>
        <w:t>LED灯组、主动闭合式进气格栅、全景天窗、电动加热外后视镜、三区独立空调、驾驶位座椅记忆、倒车影像、后驻车雷达等。</w:t>
      </w:r>
    </w:p>
    <w:p>
      <w:r>
        <w:rPr>
          <w:rFonts w:hint="eastAsia"/>
        </w:rPr>
        <w:t>动力方面，新车搭载</w:t>
      </w:r>
      <w:r>
        <w:t>2.0T发动机，匹配9TIP变速箱。</w:t>
      </w:r>
    </w:p>
    <w:p>
      <w:pPr>
        <w:rPr>
          <w:rFonts w:cs="宋体"/>
          <w:b/>
          <w:bCs/>
          <w:i/>
          <w:iCs/>
        </w:rPr>
      </w:pPr>
      <w:r>
        <w:rPr>
          <w:rFonts w:hint="eastAsia" w:cs="宋体"/>
          <w:b/>
          <w:bCs/>
          <w:i/>
          <w:iCs/>
        </w:rPr>
        <w:t>分析：。</w:t>
      </w:r>
    </w:p>
    <w:p>
      <w:pPr>
        <w:pStyle w:val="8"/>
        <w:numPr>
          <w:ilvl w:val="0"/>
          <w:numId w:val="3"/>
        </w:numPr>
        <w:ind w:firstLineChars="0"/>
        <w:outlineLvl w:val="1"/>
        <w:rPr>
          <w:b/>
        </w:rPr>
      </w:pPr>
      <w:r>
        <w:rPr>
          <w:b/>
        </w:rPr>
        <w:t xml:space="preserve">新款野马EC60 </w:t>
      </w:r>
    </w:p>
    <w:tbl>
      <w:tblPr>
        <w:tblStyle w:val="4"/>
        <w:tblW w:w="0" w:type="auto"/>
        <w:tblCellSpacing w:w="15" w:type="dxa"/>
        <w:tblInd w:w="0" w:type="dxa"/>
        <w:tblLayout w:type="autofit"/>
        <w:tblCellMar>
          <w:top w:w="15" w:type="dxa"/>
          <w:left w:w="15" w:type="dxa"/>
          <w:bottom w:w="15" w:type="dxa"/>
          <w:right w:w="15" w:type="dxa"/>
        </w:tblCellMar>
      </w:tblPr>
      <w:tblGrid>
        <w:gridCol w:w="81"/>
        <w:gridCol w:w="3310"/>
        <w:gridCol w:w="81"/>
      </w:tblGrid>
      <w:tr>
        <w:tblPrEx>
          <w:tblCellMar>
            <w:top w:w="15" w:type="dxa"/>
            <w:left w:w="15" w:type="dxa"/>
            <w:bottom w:w="15" w:type="dxa"/>
            <w:right w:w="15" w:type="dxa"/>
          </w:tblCellMar>
        </w:tblPrEx>
        <w:trPr>
          <w:tblCellSpacing w:w="15" w:type="dxa"/>
        </w:trPr>
        <w:tc>
          <w:tcPr>
            <w:tcW w:w="0" w:type="auto"/>
            <w:tcBorders>
              <w:top w:val="nil"/>
              <w:left w:val="nil"/>
              <w:bottom w:val="nil"/>
              <w:right w:val="nil"/>
            </w:tcBorders>
          </w:tcPr>
          <w:p>
            <w:pPr>
              <w:widowControl/>
              <w:jc w:val="left"/>
              <w:rPr>
                <w:rFonts w:ascii="宋体" w:hAnsi="宋体" w:eastAsia="宋体" w:cs="宋体"/>
                <w:kern w:val="0"/>
                <w:sz w:val="24"/>
              </w:rPr>
            </w:pP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r>
              <w:rPr>
                <w:rFonts w:ascii="微软雅黑" w:hAnsi="微软雅黑" w:eastAsia="微软雅黑" w:cs="宋体"/>
                <w:color w:val="000000"/>
                <w:kern w:val="0"/>
                <w:sz w:val="27"/>
                <w:szCs w:val="27"/>
              </w:rPr>
              <w:drawing>
                <wp:inline distT="0" distB="0" distL="0" distR="0">
                  <wp:extent cx="2063750" cy="1042670"/>
                  <wp:effectExtent l="0" t="0" r="0" b="5080"/>
                  <wp:docPr id="2" name="图片 2" descr="http://58.246.65.10:8231/UploadFile/2020060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58.246.65.10:8231/UploadFile/20200603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66367" cy="1044272"/>
                          </a:xfrm>
                          <a:prstGeom prst="rect">
                            <a:avLst/>
                          </a:prstGeom>
                          <a:noFill/>
                          <a:ln>
                            <a:noFill/>
                          </a:ln>
                        </pic:spPr>
                      </pic:pic>
                    </a:graphicData>
                  </a:graphic>
                </wp:inline>
              </w:drawing>
            </w:r>
          </w:p>
        </w:tc>
        <w:tc>
          <w:tcPr>
            <w:tcW w:w="0" w:type="auto"/>
            <w:tcBorders>
              <w:top w:val="nil"/>
              <w:left w:val="nil"/>
              <w:bottom w:val="nil"/>
              <w:right w:val="nil"/>
            </w:tcBorders>
          </w:tcPr>
          <w:p>
            <w:pPr>
              <w:widowControl/>
              <w:jc w:val="left"/>
              <w:rPr>
                <w:rFonts w:ascii="微软雅黑" w:hAnsi="微软雅黑" w:eastAsia="微软雅黑" w:cs="宋体"/>
                <w:color w:val="000000"/>
                <w:kern w:val="0"/>
                <w:sz w:val="27"/>
                <w:szCs w:val="27"/>
              </w:rPr>
            </w:pPr>
          </w:p>
        </w:tc>
      </w:tr>
    </w:tbl>
    <w:p>
      <w:r>
        <w:t>6月2日，新款野马EC60上市，新车补贴后售价为10.99万元，享受国补2.25万元。</w:t>
      </w:r>
    </w:p>
    <w:p>
      <w:r>
        <w:rPr>
          <w:rFonts w:hint="eastAsia"/>
        </w:rPr>
        <w:t>外观方面，新车采用封闭式前格栅设计，野马新能源全新</w:t>
      </w:r>
      <w:r>
        <w:t>LOGO，下进气格栅处搭配镀铬装饰条勾勒。</w:t>
      </w:r>
    </w:p>
    <w:p>
      <w:r>
        <w:rPr>
          <w:rFonts w:hint="eastAsia"/>
        </w:rPr>
        <w:t>内饰方面，新车采用双屏布局，中控台采用皮质包裹。</w:t>
      </w:r>
    </w:p>
    <w:p>
      <w:r>
        <w:rPr>
          <w:rFonts w:hint="eastAsia"/>
        </w:rPr>
        <w:t>配置方面，新车配备主副驾安全气囊、</w:t>
      </w:r>
      <w:r>
        <w:t>ABS+EBD制动力分配系统、上坡辅助、倒车影像、胎压监测、电子手刹、无钥匙进入/启动、全景天窗等。</w:t>
      </w:r>
    </w:p>
    <w:p>
      <w:r>
        <w:rPr>
          <w:rFonts w:hint="eastAsia"/>
        </w:rPr>
        <w:t>动力方面，新车搭载电动机，</w:t>
      </w:r>
      <w:r>
        <w:t>NEDC续航里程为400km。</w:t>
      </w:r>
    </w:p>
    <w:p>
      <w:pPr>
        <w:rPr>
          <w:rFonts w:cs="宋体"/>
          <w:b/>
          <w:bCs/>
          <w:i/>
          <w:iCs/>
        </w:rPr>
      </w:pPr>
      <w:r>
        <w:rPr>
          <w:rFonts w:hint="eastAsia" w:cs="宋体"/>
          <w:b/>
          <w:bCs/>
          <w:i/>
          <w:iCs/>
        </w:rPr>
        <w:t>分析：。</w:t>
      </w:r>
    </w:p>
    <w:p>
      <w:pPr>
        <w:rPr>
          <w:rFonts w:cs="宋体"/>
          <w:b/>
          <w:bCs/>
          <w:i/>
          <w:iCs/>
        </w:rPr>
      </w:pPr>
    </w:p>
    <w:p>
      <w:pPr>
        <w:pStyle w:val="8"/>
        <w:numPr>
          <w:ilvl w:val="0"/>
          <w:numId w:val="4"/>
        </w:numPr>
        <w:ind w:firstLineChars="0"/>
        <w:outlineLvl w:val="0"/>
        <w:rPr>
          <w:b/>
        </w:rPr>
      </w:pPr>
      <w:r>
        <w:rPr>
          <w:rFonts w:hint="eastAsia" w:cs="宋体"/>
          <w:b/>
          <w:bCs/>
        </w:rPr>
        <w:t>宏观经济与政策</w:t>
      </w:r>
    </w:p>
    <w:p>
      <w:pPr>
        <w:pStyle w:val="8"/>
        <w:numPr>
          <w:ilvl w:val="0"/>
          <w:numId w:val="5"/>
        </w:numPr>
        <w:ind w:firstLineChars="0"/>
        <w:outlineLvl w:val="1"/>
        <w:rPr>
          <w:b/>
        </w:rPr>
      </w:pPr>
      <w:r>
        <w:rPr>
          <w:rFonts w:hint="eastAsia"/>
          <w:b/>
        </w:rPr>
        <w:t>统计局：</w:t>
      </w:r>
      <w:r>
        <w:rPr>
          <w:b/>
        </w:rPr>
        <w:t>5月中国制造业PMI为50.6%</w:t>
      </w:r>
    </w:p>
    <w:p>
      <w:r>
        <w:t>5月份，中国制造业PMI为50.6%，比上月回落0.2个百分点。非制造业商务活动指数为53.6%，比上月上升0.4个百分点。综合PMI产出指数为53.4%，与上月持平。</w:t>
      </w:r>
    </w:p>
    <w:p>
      <w:pPr>
        <w:rPr>
          <w:rFonts w:cs="宋体"/>
          <w:b/>
          <w:bCs/>
          <w:i/>
          <w:iCs/>
        </w:rPr>
      </w:pPr>
      <w:r>
        <w:rPr>
          <w:rFonts w:hint="eastAsia" w:cs="宋体"/>
          <w:b/>
          <w:bCs/>
          <w:i/>
          <w:iCs/>
        </w:rPr>
        <w:t>分析：。</w:t>
      </w:r>
    </w:p>
    <w:p>
      <w:pPr>
        <w:outlineLvl w:val="1"/>
        <w:rPr>
          <w:b/>
        </w:rPr>
      </w:pPr>
      <w:r>
        <w:rPr>
          <w:rFonts w:hint="eastAsia"/>
          <w:b/>
        </w:rPr>
        <w:t>2.</w:t>
      </w:r>
      <w:r>
        <w:rPr>
          <w:b/>
        </w:rPr>
        <w:t>重型柴油城市车辆深圳7月1日将执行国六</w:t>
      </w:r>
    </w:p>
    <w:p>
      <w:r>
        <w:t>6月3号，深圳市生态环境局发布了《重型城市车辆将执行国六排放标准》的通知，意味着深圳将从城市车辆进一步控制排气污染，通知明确了自2020年7月1日起，深圳市所有生产、进口、销售和注册登记的重型城市车辆应符合国6a排放标准。</w:t>
      </w:r>
    </w:p>
    <w:p>
      <w:pPr>
        <w:rPr>
          <w:rFonts w:cs="宋体"/>
          <w:b/>
          <w:bCs/>
          <w:i/>
          <w:iCs/>
        </w:rPr>
      </w:pPr>
      <w:r>
        <w:rPr>
          <w:rFonts w:hint="eastAsia" w:cs="宋体"/>
          <w:b/>
          <w:bCs/>
          <w:i/>
          <w:iCs/>
        </w:rPr>
        <w:t>分析：。、</w:t>
      </w:r>
    </w:p>
    <w:p>
      <w:pPr>
        <w:outlineLvl w:val="1"/>
        <w:rPr>
          <w:b/>
        </w:rPr>
      </w:pPr>
      <w:r>
        <w:rPr>
          <w:rFonts w:hint="eastAsia"/>
          <w:b/>
        </w:rPr>
        <w:t>3.宝能汽车公司在深圳揭牌成立</w:t>
      </w:r>
      <w:r>
        <w:rPr>
          <w:b/>
        </w:rPr>
        <w:t>规划年产整车85万辆</w:t>
      </w:r>
    </w:p>
    <w:p>
      <w:r>
        <w:rPr>
          <w:rFonts w:hint="eastAsia"/>
        </w:rPr>
        <w:t>深圳市宝能汽车有限公司成立揭牌仪式在龙华区观澜街道举行。公司成立后将致力于建设全产业链深度整合的汽车全球总部，推动新能源汽车产业发展。</w:t>
      </w:r>
    </w:p>
    <w:p>
      <w:r>
        <w:rPr>
          <w:rFonts w:hint="eastAsia"/>
        </w:rPr>
        <w:t>据宝能汽车副总裁陆幸泽透露，下一步，宝能汽车将进一步统筹规划、合理布局，通过改建、扩建、新建，实现软硬件升级，持续提升产能，实现整车</w:t>
      </w:r>
      <w:r>
        <w:t>85万辆、发动机50万台的年生产能力。同时，将导入宝能汽车增程式和观致SUV等全新高端产品生产，力争今年第四季度实现首车下线。</w:t>
      </w:r>
    </w:p>
    <w:p>
      <w:pPr>
        <w:rPr>
          <w:rFonts w:cs="宋体"/>
          <w:b/>
          <w:bCs/>
          <w:i/>
          <w:iCs/>
        </w:rPr>
      </w:pPr>
      <w:r>
        <w:rPr>
          <w:rFonts w:hint="eastAsia" w:cs="宋体"/>
          <w:b/>
          <w:bCs/>
          <w:i/>
          <w:iCs/>
        </w:rPr>
        <w:t>分析：。</w:t>
      </w:r>
    </w:p>
    <w:p>
      <w:pPr>
        <w:outlineLvl w:val="1"/>
        <w:rPr>
          <w:b/>
        </w:rPr>
      </w:pPr>
      <w:r>
        <w:rPr>
          <w:rFonts w:hint="eastAsia"/>
          <w:b/>
        </w:rPr>
        <w:t>4.北京</w:t>
      </w:r>
      <w:r>
        <w:rPr>
          <w:b/>
        </w:rPr>
        <w:t>8区已发布“轻型货车限行措施”</w:t>
      </w:r>
    </w:p>
    <w:p>
      <w:r>
        <w:t>2020年6月2日，北京市昌平、延庆、门头沟、房山、石景山、海淀等六区相继发布“轻型货车限行措施”，再加上此前就已经制定相关限行措施的大兴区和通州区，从明年起，“皮卡车”等轻型货车，在北京六环以内将受到非常严格的限行约束。</w:t>
      </w:r>
    </w:p>
    <w:p>
      <w:pPr>
        <w:rPr>
          <w:rFonts w:cs="宋体"/>
          <w:b/>
          <w:bCs/>
          <w:i/>
          <w:iCs/>
        </w:rPr>
      </w:pPr>
      <w:r>
        <w:rPr>
          <w:rFonts w:hint="eastAsia" w:cs="宋体"/>
          <w:b/>
          <w:bCs/>
          <w:i/>
          <w:iCs/>
        </w:rPr>
        <w:t>分析：。</w:t>
      </w:r>
    </w:p>
    <w:p>
      <w:pPr>
        <w:outlineLvl w:val="1"/>
        <w:rPr>
          <w:b/>
        </w:rPr>
      </w:pPr>
      <w:r>
        <w:rPr>
          <w:rFonts w:hint="eastAsia"/>
          <w:b/>
        </w:rPr>
        <w:t>5.北京拟向“无车家庭”增发</w:t>
      </w:r>
      <w:r>
        <w:rPr>
          <w:b/>
        </w:rPr>
        <w:t>2万新能源指标</w:t>
      </w:r>
    </w:p>
    <w:p>
      <w:r>
        <w:t>6月1日，北京市交通委发布了《关于一次性增发新能源小客车指标配置方案(征求意见稿)》，拟于今年下半年一次性增发2万个新能源小客车指标，面向“无车家庭”配置，将以积分划档的形式进行配置。</w:t>
      </w:r>
    </w:p>
    <w:p>
      <w:pPr>
        <w:rPr>
          <w:rFonts w:cs="宋体"/>
          <w:b/>
          <w:bCs/>
          <w:i/>
          <w:iCs/>
        </w:rPr>
      </w:pPr>
      <w:r>
        <w:rPr>
          <w:rFonts w:hint="eastAsia" w:cs="宋体"/>
          <w:b/>
          <w:bCs/>
          <w:i/>
          <w:iCs/>
        </w:rPr>
        <w:t>分析：。</w:t>
      </w:r>
    </w:p>
    <w:p>
      <w:pPr>
        <w:outlineLvl w:val="1"/>
        <w:rPr>
          <w:b/>
        </w:rPr>
      </w:pPr>
      <w:r>
        <w:rPr>
          <w:rFonts w:hint="eastAsia"/>
          <w:b/>
        </w:rPr>
        <w:t>6.北京修改小客车摇号政策</w:t>
      </w:r>
      <w:r>
        <w:rPr>
          <w:b/>
        </w:rPr>
        <w:t>:以家庭为单位摇号</w:t>
      </w:r>
    </w:p>
    <w:p>
      <w:r>
        <w:t>从北京市交通委获悉，为进一步优化小客车指标配置方式，北京市拟对《北京市小客车数量调控暂行规定》《〈北京市小客车数量调控暂行规定〉实施细则》进行修订，计划在明年将家庭与个人同池摇号，并引入“积分制度”，家庭积分越高，中签率越高。</w:t>
      </w:r>
    </w:p>
    <w:p>
      <w:r>
        <w:rPr>
          <w:rFonts w:hint="eastAsia"/>
        </w:rPr>
        <w:t>同时，北京市拟于今年下半年一次性增发</w:t>
      </w:r>
      <w:r>
        <w:t>2万个新能源小客车指标，全部向符合条件的家庭配置。</w:t>
      </w:r>
    </w:p>
    <w:p>
      <w:r>
        <w:rPr>
          <w:rFonts w:hint="eastAsia"/>
        </w:rPr>
        <w:t>该修订征求意见稿强调，单位、家庭或者个人出售、报废名下小客车后需要新购置小客车的，可以申请更新指标，以小客车更新指标确认通知书作为更新指标证明文件。但个人名下有两辆以上本市登记的小客车的，只能选择其中一辆取得更新指标。</w:t>
      </w:r>
    </w:p>
    <w:p>
      <w:pPr>
        <w:rPr>
          <w:rFonts w:cs="宋体"/>
          <w:b/>
          <w:bCs/>
          <w:i/>
          <w:iCs/>
        </w:rPr>
      </w:pPr>
      <w:r>
        <w:rPr>
          <w:rFonts w:hint="eastAsia" w:cs="宋体"/>
          <w:b/>
          <w:bCs/>
          <w:i/>
          <w:iCs/>
        </w:rPr>
        <w:t>分析：。</w:t>
      </w:r>
    </w:p>
    <w:p>
      <w:pPr>
        <w:outlineLvl w:val="1"/>
        <w:rPr>
          <w:b/>
        </w:rPr>
      </w:pPr>
      <w:r>
        <w:rPr>
          <w:rFonts w:hint="eastAsia"/>
          <w:b/>
        </w:rPr>
        <w:t>7.</w:t>
      </w:r>
      <w:r>
        <w:rPr>
          <w:b/>
        </w:rPr>
        <w:t>湖北出台促进汽车消费政策</w:t>
      </w:r>
    </w:p>
    <w:p>
      <w:r>
        <w:rPr>
          <w:rFonts w:hint="eastAsia"/>
        </w:rPr>
        <w:t>日前，湖北省人民政府官方发布《省人民政府关于印发</w:t>
      </w:r>
      <w:r>
        <w:t>提振消费促进经济稳定增长若干措施的通知》，明确提出要“释放大宗消费潜力”。</w:t>
      </w:r>
    </w:p>
    <w:p>
      <w:r>
        <w:rPr>
          <w:rFonts w:hint="eastAsia"/>
        </w:rPr>
        <w:t>落实新能源汽车购置补贴、免征车辆购置税政策延长</w:t>
      </w:r>
      <w:r>
        <w:t>2年和二手车销售增值税减免等优惠政策。组织开展汽车“以旧换新”“下乡惠农”活动。</w:t>
      </w:r>
    </w:p>
    <w:p>
      <w:r>
        <w:rPr>
          <w:rFonts w:hint="eastAsia"/>
        </w:rPr>
        <w:t>鼓励有条件的地方对</w:t>
      </w:r>
      <w:r>
        <w:t>2020年底前消费者转出、报废“国四”及以下排放标准的汽车和在本地注册的汽车销售公司购买符合要求的“国六”排放标准新车，给予一定补贴。</w:t>
      </w:r>
    </w:p>
    <w:p>
      <w:pPr>
        <w:rPr>
          <w:rFonts w:cs="宋体"/>
          <w:b/>
          <w:bCs/>
          <w:i/>
          <w:iCs/>
        </w:rPr>
      </w:pPr>
      <w:r>
        <w:rPr>
          <w:rFonts w:hint="eastAsia" w:cs="宋体"/>
          <w:b/>
          <w:bCs/>
          <w:i/>
          <w:iCs/>
        </w:rPr>
        <w:t>分析：。</w:t>
      </w:r>
    </w:p>
    <w:p>
      <w:pPr>
        <w:outlineLvl w:val="1"/>
        <w:rPr>
          <w:b/>
        </w:rPr>
      </w:pPr>
      <w:r>
        <w:rPr>
          <w:rFonts w:hint="eastAsia"/>
          <w:b/>
        </w:rPr>
        <w:t>8.湖北组织开展汽车以旧换新</w:t>
      </w:r>
      <w:r>
        <w:rPr>
          <w:b/>
        </w:rPr>
        <w:t>/下乡惠农等活动</w:t>
      </w:r>
    </w:p>
    <w:p>
      <w:r>
        <w:rPr>
          <w:rFonts w:hint="eastAsia"/>
        </w:rPr>
        <w:t>近日，我们从湖北省发展和改革委员会官方网站获得了《省人民政府关于印发提振消费促进经济稳定增长若干措施的通知》，为了释放消费需求，多措并举促进消费回升，有效对冲疫情影响，促进全省经济稳定增长，湖北省政府印发提振消费若干措施。</w:t>
      </w:r>
    </w:p>
    <w:p>
      <w:r>
        <w:rPr>
          <w:rFonts w:hint="eastAsia"/>
        </w:rPr>
        <w:t>通知中设计汽车的措施包括，湖北省将落实新能源汽车购置补贴、免征车辆购置税政策延长</w:t>
      </w:r>
      <w:r>
        <w:t>2年和二手车销售增值税减免等优惠政策。组织开展汽车“以旧换新”“下乡惠农”活动。</w:t>
      </w:r>
    </w:p>
    <w:p>
      <w:r>
        <w:rPr>
          <w:rFonts w:hint="eastAsia"/>
        </w:rPr>
        <w:t>鼓励有条件的地方对</w:t>
      </w:r>
      <w:r>
        <w:t>2020年底前消费者转出、报废“国四”及以下排放标准的汽车和在本地注册的汽车销售公司购买符合要求的“国六”排放标准新车，给予一定补贴。</w:t>
      </w:r>
    </w:p>
    <w:p>
      <w:pPr>
        <w:rPr>
          <w:rFonts w:cs="宋体"/>
          <w:b/>
          <w:bCs/>
          <w:i/>
          <w:iCs/>
        </w:rPr>
      </w:pPr>
      <w:r>
        <w:rPr>
          <w:rFonts w:hint="eastAsia" w:cs="宋体"/>
          <w:b/>
          <w:bCs/>
          <w:i/>
          <w:iCs/>
        </w:rPr>
        <w:t>分析：。</w:t>
      </w:r>
    </w:p>
    <w:p>
      <w:pPr>
        <w:outlineLvl w:val="1"/>
        <w:rPr>
          <w:b/>
        </w:rPr>
      </w:pPr>
      <w:r>
        <w:rPr>
          <w:rFonts w:hint="eastAsia"/>
          <w:b/>
        </w:rPr>
        <w:t>9.厦门发布国六实施时间表</w:t>
      </w:r>
    </w:p>
    <w:p>
      <w:r>
        <w:t>5月30日消息，厦门正式宣布将分阶段实施国六排放标准，7月1日起轻型汽车（总重3.5吨以下）正式施行国六排放标准，7月1日至2021年1月1日为过渡期。过渡期后，国五车型将禁止上牌。</w:t>
      </w:r>
    </w:p>
    <w:p>
      <w:pPr>
        <w:rPr>
          <w:rFonts w:cs="宋体"/>
          <w:b/>
          <w:bCs/>
          <w:i/>
          <w:iCs/>
        </w:rPr>
      </w:pPr>
      <w:r>
        <w:rPr>
          <w:rFonts w:hint="eastAsia" w:cs="宋体"/>
          <w:b/>
          <w:bCs/>
          <w:i/>
          <w:iCs/>
        </w:rPr>
        <w:t>分析：。</w:t>
      </w:r>
    </w:p>
    <w:p>
      <w:pPr>
        <w:outlineLvl w:val="1"/>
        <w:rPr>
          <w:b/>
        </w:rPr>
      </w:pPr>
      <w:r>
        <w:rPr>
          <w:rFonts w:hint="eastAsia"/>
          <w:b/>
        </w:rPr>
        <w:t>1</w:t>
      </w:r>
      <w:r>
        <w:rPr>
          <w:b/>
        </w:rPr>
        <w:t>0</w:t>
      </w:r>
      <w:r>
        <w:rPr>
          <w:rFonts w:hint="eastAsia"/>
          <w:b/>
        </w:rPr>
        <w:t>.上海市“国六”两步走：</w:t>
      </w:r>
      <w:r>
        <w:rPr>
          <w:b/>
        </w:rPr>
        <w:t>7月1日国六a，2021年元旦国六b</w:t>
      </w:r>
    </w:p>
    <w:p>
      <w:r>
        <w:t>6月2日，上海市生态环境局、上海市公安局、上海市市场监督管理局等三部门联合发布了《关于城市车辆、重型燃气车辆实施第六阶段排放标准的通告》。自2020年7月1日起，在上海销售和注册登记(含外省市转入)的城市车辆均应符合国六a阶段排放标准要求，自2021年1月1日起，重型燃气车辆应符合国六b阶段排放标准要求。</w:t>
      </w:r>
    </w:p>
    <w:p>
      <w:pPr>
        <w:rPr>
          <w:rFonts w:cs="宋体"/>
          <w:b/>
          <w:bCs/>
          <w:i/>
          <w:iCs/>
        </w:rPr>
      </w:pPr>
      <w:r>
        <w:rPr>
          <w:rFonts w:hint="eastAsia" w:cs="宋体"/>
          <w:b/>
          <w:bCs/>
          <w:i/>
          <w:iCs/>
        </w:rPr>
        <w:t>分析：。</w:t>
      </w:r>
    </w:p>
    <w:p>
      <w:pPr>
        <w:outlineLvl w:val="1"/>
        <w:rPr>
          <w:b/>
        </w:rPr>
      </w:pPr>
      <w:r>
        <w:rPr>
          <w:rFonts w:hint="eastAsia"/>
          <w:b/>
        </w:rPr>
        <w:t>1</w:t>
      </w:r>
      <w:r>
        <w:rPr>
          <w:b/>
        </w:rPr>
        <w:t>1</w:t>
      </w:r>
      <w:r>
        <w:rPr>
          <w:rFonts w:hint="eastAsia"/>
          <w:b/>
        </w:rPr>
        <w:t>.银保监会：力争早日推出新能源汽车保险专属示范产品</w:t>
      </w:r>
    </w:p>
    <w:p>
      <w:r>
        <w:t>保险业协会已组织力量成立了新能源汽车保险专属条款工作组，积极开展条款研发工作。目前，新能源车条款已初步征求过行业和有关专家意见，下一步将继续修改完善，力争早日推出新能源汽车保险专属示范产品。</w:t>
      </w:r>
    </w:p>
    <w:p>
      <w:pPr>
        <w:rPr>
          <w:rFonts w:cs="宋体"/>
          <w:b/>
          <w:bCs/>
          <w:i/>
          <w:iCs/>
        </w:rPr>
      </w:pPr>
      <w:r>
        <w:rPr>
          <w:rFonts w:hint="eastAsia" w:cs="宋体"/>
          <w:b/>
          <w:bCs/>
          <w:i/>
          <w:iCs/>
        </w:rPr>
        <w:t>分析：。</w:t>
      </w:r>
    </w:p>
    <w:p>
      <w:pPr>
        <w:outlineLvl w:val="1"/>
        <w:rPr>
          <w:b/>
        </w:rPr>
      </w:pPr>
      <w:r>
        <w:rPr>
          <w:rFonts w:hint="eastAsia"/>
          <w:b/>
        </w:rPr>
        <w:t>1</w:t>
      </w:r>
      <w:r>
        <w:rPr>
          <w:b/>
        </w:rPr>
        <w:t>2.</w:t>
      </w:r>
      <w:r>
        <w:rPr>
          <w:rFonts w:hint="eastAsia"/>
          <w:b/>
        </w:rPr>
        <w:t>政府工作报告将充电桩建设纳入新基建</w:t>
      </w:r>
    </w:p>
    <w:p>
      <w:r>
        <w:rPr>
          <w:rFonts w:hint="eastAsia"/>
        </w:rPr>
        <w:t>此次的两会《政府工作报告》在经过代表和委员讨论审议后，最终在修改了</w:t>
      </w:r>
      <w:r>
        <w:t>89项内容后，由国务院正式发布全文。值得注意的是，其中关于新基建的内容，将“建设充电桩”扩展为“增加充电桩、换电站等设施”。换电站作为新基建的重要组成部分第一次被写入政府工作报告。</w:t>
      </w:r>
    </w:p>
    <w:p>
      <w:r>
        <w:rPr>
          <w:rFonts w:hint="eastAsia"/>
        </w:rPr>
        <w:t>国家对换电模式的认可，对车电分离道路的肯定，是电动汽车行业进一步发展的重大利好。政策的出台增强了蔚来在技术方向和商业模式上的信心。目前，蔚来拥有</w:t>
      </w:r>
      <w:r>
        <w:t>1200多项换电相关专利技术，参与制定、修订换电行业标准17项，截至5月31日，已经在全国落地132座换电站，覆盖58座城市、累计换电超过50万次。</w:t>
      </w:r>
    </w:p>
    <w:p>
      <w:r>
        <w:rPr>
          <w:rFonts w:hint="eastAsia"/>
        </w:rPr>
        <w:t>蔚来还将推进新建换电站的进度，优化全国换电站布局，并实现</w:t>
      </w:r>
      <w:r>
        <w:t>70-84-100度电池的永久升级和灵活升级。</w:t>
      </w:r>
    </w:p>
    <w:p>
      <w:pPr>
        <w:rPr>
          <w:rFonts w:cs="宋体"/>
          <w:b/>
          <w:bCs/>
          <w:i/>
          <w:iCs/>
        </w:rPr>
      </w:pPr>
      <w:r>
        <w:rPr>
          <w:rFonts w:hint="eastAsia" w:cs="宋体"/>
          <w:b/>
          <w:bCs/>
          <w:i/>
          <w:iCs/>
        </w:rPr>
        <w:t>分析：。</w:t>
      </w:r>
    </w:p>
    <w:p>
      <w:pPr>
        <w:outlineLvl w:val="1"/>
        <w:rPr>
          <w:b/>
        </w:rPr>
      </w:pPr>
      <w:r>
        <w:rPr>
          <w:rFonts w:hint="eastAsia"/>
          <w:b/>
        </w:rPr>
        <w:t>1</w:t>
      </w:r>
      <w:r>
        <w:rPr>
          <w:b/>
        </w:rPr>
        <w:t>3.</w:t>
      </w:r>
      <w:r>
        <w:rPr>
          <w:rFonts w:hint="eastAsia"/>
          <w:b/>
        </w:rPr>
        <w:t>工信部将三项电动汽车安全强标列入公告管理</w:t>
      </w:r>
    </w:p>
    <w:p>
      <w:r>
        <w:t>5月29日，工信部装备工业发展中心发布关于实施电动汽车强制性国家标准的通知。通知指出，为进一步推动新能源产业技术进步，促进新能源汽车行业整体安全水平提升，在《公告》产品准入管理中提前实施《电动汽车安全要求》、《电动客车安全要求》、《电动汽车用动力蓄电池安全要求》三项强制性国家标准。即在标准实施日期2021年1月1日之前，允许企业根据自身情况提前执行以上强制性国家标准。</w:t>
      </w:r>
    </w:p>
    <w:p>
      <w:pPr>
        <w:rPr>
          <w:rFonts w:cs="宋体"/>
          <w:b/>
          <w:bCs/>
          <w:i/>
          <w:iCs/>
        </w:rPr>
      </w:pPr>
      <w:r>
        <w:rPr>
          <w:rFonts w:hint="eastAsia" w:cs="宋体"/>
          <w:b/>
          <w:bCs/>
          <w:i/>
          <w:iCs/>
        </w:rPr>
        <w:t>分析：。</w:t>
      </w:r>
    </w:p>
    <w:p>
      <w:pPr>
        <w:outlineLvl w:val="1"/>
        <w:rPr>
          <w:b/>
        </w:rPr>
      </w:pPr>
      <w:r>
        <w:rPr>
          <w:rFonts w:hint="eastAsia"/>
          <w:b/>
        </w:rPr>
        <w:t>1</w:t>
      </w:r>
      <w:r>
        <w:rPr>
          <w:b/>
        </w:rPr>
        <w:t>4.</w:t>
      </w:r>
      <w:r>
        <w:rPr>
          <w:rFonts w:hint="eastAsia"/>
          <w:b/>
        </w:rPr>
        <w:t>国办转发两部委进一步降低物流成本实施意见</w:t>
      </w:r>
    </w:p>
    <w:p>
      <w:r>
        <w:rPr>
          <w:rFonts w:hint="eastAsia"/>
        </w:rPr>
        <w:t>国务院办公厅日前转发国家发展改革委、交通运输部《关于进一步降低物流成本的实施意见》。《意见》指出，近年来，社会物流成本水平保持稳步下降，但部分领域物流成本高、效率低等问题仍然突出，特别是受新冠肺炎疫情影响，社会物流成本出现阶段性上升，难以适应建设现代化经济体系、推动高质量发展的要求。为深入贯彻落实党中央、国务院关于统筹推进疫情防控和经济社会发展工作的决策部署，进一步降低物流成本、提升物流效率，加快恢复生产生活秩序，《意见》提出六个方面</w:t>
      </w:r>
      <w:r>
        <w:t>24条具体政策措施。</w:t>
      </w:r>
    </w:p>
    <w:p>
      <w:pPr>
        <w:rPr>
          <w:rFonts w:cs="宋体"/>
          <w:b/>
          <w:bCs/>
          <w:i/>
          <w:iCs/>
        </w:rPr>
      </w:pPr>
      <w:r>
        <w:rPr>
          <w:rFonts w:hint="eastAsia" w:cs="宋体"/>
          <w:b/>
          <w:bCs/>
          <w:i/>
          <w:iCs/>
        </w:rPr>
        <w:t>分析：。</w:t>
      </w:r>
    </w:p>
    <w:p>
      <w:pPr>
        <w:outlineLvl w:val="1"/>
        <w:rPr>
          <w:b/>
        </w:rPr>
      </w:pPr>
      <w:r>
        <w:rPr>
          <w:rFonts w:hint="eastAsia"/>
          <w:b/>
        </w:rPr>
        <w:t>1</w:t>
      </w:r>
      <w:r>
        <w:rPr>
          <w:b/>
        </w:rPr>
        <w:t>5.</w:t>
      </w:r>
      <w:r>
        <w:rPr>
          <w:rFonts w:hint="eastAsia"/>
          <w:b/>
        </w:rPr>
        <w:t>海南自贸港方案惠及新能源汽车制造及贸易</w:t>
      </w:r>
    </w:p>
    <w:p>
      <w:r>
        <w:t>6月1日晚，《海南自由贸易港建设总体方案》正式发布，该方案明确提到将致力于壮大以新能源汽车为代表的先进制造业，为此将针对在海南实现增值30%以上的新能源汽车产品进入内地实施免征关税的进口原产地政策，在此过程中所涉及到的生产设备进口实施零关税政策，并针对包括用于岛内进口用于车辆等营运用交通工具进口至岛内实施“正面清单”制度下的“零关税”政策。</w:t>
      </w:r>
    </w:p>
    <w:p>
      <w:r>
        <w:rPr>
          <w:rFonts w:hint="eastAsia"/>
        </w:rPr>
        <w:t>此外，《总体方案》中，还明确提到，海南要在贸易自由便利、人员进出自由便利等</w:t>
      </w:r>
      <w:r>
        <w:t>11个方面完善制度设计。</w:t>
      </w:r>
    </w:p>
    <w:p>
      <w:pPr>
        <w:rPr>
          <w:rFonts w:cs="宋体"/>
          <w:b/>
          <w:bCs/>
          <w:i/>
          <w:iCs/>
        </w:rPr>
      </w:pPr>
      <w:r>
        <w:rPr>
          <w:rFonts w:hint="eastAsia" w:cs="宋体"/>
          <w:b/>
          <w:bCs/>
          <w:i/>
          <w:iCs/>
        </w:rPr>
        <w:t>分析：。</w:t>
      </w:r>
    </w:p>
    <w:p>
      <w:pPr>
        <w:outlineLvl w:val="1"/>
        <w:rPr>
          <w:b/>
        </w:rPr>
      </w:pPr>
      <w:r>
        <w:rPr>
          <w:rFonts w:hint="eastAsia"/>
          <w:b/>
        </w:rPr>
        <w:t>1</w:t>
      </w:r>
      <w:r>
        <w:rPr>
          <w:b/>
        </w:rPr>
        <w:t>6.</w:t>
      </w:r>
      <w:r>
        <w:rPr>
          <w:rFonts w:hint="eastAsia"/>
          <w:b/>
        </w:rPr>
        <w:t>中国</w:t>
      </w:r>
      <w:r>
        <w:rPr>
          <w:b/>
        </w:rPr>
        <w:t>5月财新服务业PMI为55</w:t>
      </w:r>
    </w:p>
    <w:p>
      <w:r>
        <w:t>中国5月财新服务业PMI为55，预期47.3，前值44.4。</w:t>
      </w:r>
    </w:p>
    <w:p>
      <w:r>
        <w:t>中国5月财新制造业PMI为50.7，预期49.6，前值49.4。</w:t>
      </w:r>
    </w:p>
    <w:p>
      <w:pPr>
        <w:rPr>
          <w:rFonts w:cs="宋体"/>
          <w:b/>
          <w:bCs/>
          <w:i/>
          <w:iCs/>
        </w:rPr>
      </w:pPr>
      <w:r>
        <w:rPr>
          <w:rFonts w:hint="eastAsia" w:cs="宋体"/>
          <w:b/>
          <w:bCs/>
          <w:i/>
          <w:iCs/>
        </w:rPr>
        <w:t>分析：。</w:t>
      </w:r>
    </w:p>
    <w:p>
      <w:pPr>
        <w:rPr>
          <w:rFonts w:cs="宋体"/>
          <w:b/>
          <w:bCs/>
          <w:i/>
          <w:iCs/>
        </w:rPr>
      </w:pPr>
    </w:p>
    <w:p>
      <w:pPr>
        <w:pStyle w:val="8"/>
        <w:numPr>
          <w:ilvl w:val="0"/>
          <w:numId w:val="6"/>
        </w:numPr>
        <w:ind w:firstLineChars="0"/>
        <w:outlineLvl w:val="0"/>
        <w:rPr>
          <w:b/>
        </w:rPr>
      </w:pPr>
      <w:r>
        <w:rPr>
          <w:rFonts w:hint="eastAsia" w:cs="宋体"/>
          <w:b/>
          <w:bCs/>
        </w:rPr>
        <w:t>新品信息跟踪</w:t>
      </w:r>
    </w:p>
    <w:p>
      <w:pPr>
        <w:pStyle w:val="8"/>
        <w:numPr>
          <w:ilvl w:val="3"/>
          <w:numId w:val="7"/>
        </w:numPr>
        <w:ind w:left="426" w:firstLineChars="0"/>
        <w:outlineLvl w:val="1"/>
        <w:rPr>
          <w:b/>
        </w:rPr>
      </w:pPr>
      <w:r>
        <w:rPr>
          <w:b/>
        </w:rPr>
        <w:t xml:space="preserve">哈弗B06 </w:t>
      </w:r>
    </w:p>
    <w:p>
      <w:r>
        <w:rPr>
          <w:color w:val="000000"/>
        </w:rPr>
        <w:drawing>
          <wp:inline distT="0" distB="0" distL="0" distR="0">
            <wp:extent cx="2286000" cy="1428750"/>
            <wp:effectExtent l="0" t="0" r="0" b="0"/>
            <wp:docPr id="12" name="图片 12" descr="http://dss.way-s.cn/news/net_images/sina/58683eb39863d293aab93a7fe413898715bf94f3/3ff5e052a5602fb71d0a525e985a3929dc3d0ea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http://dss.way-s.cn/news/net_images/sina/58683eb39863d293aab93a7fe413898715bf94f3/3ff5e052a5602fb71d0a525e985a3929dc3d0ea8.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286000" cy="1428750"/>
                    </a:xfrm>
                    <a:prstGeom prst="rect">
                      <a:avLst/>
                    </a:prstGeom>
                    <a:noFill/>
                    <a:ln>
                      <a:noFill/>
                    </a:ln>
                  </pic:spPr>
                </pic:pic>
              </a:graphicData>
            </a:graphic>
          </wp:inline>
        </w:drawing>
      </w:r>
    </w:p>
    <w:p>
      <w:r>
        <w:t>新车将于第三季度上市销售。外观方面，新车整体采用了“以型言型”的全新设计理念，其整体方正的造型设计，外多边内圆形的大灯组配合趋于盾型的前格栅，让新车看上去十分个性。同时，其下方还加入了银色防擦护板，并在内部加入橙色元素进行妆点。车身侧面来看，新车通过较高的车身以及极具肌肉线条的轮眉营造出较为硬派的风格。尾部方面，新车采用了倒L型尾灯组，中央则加入饰条进行连接，配合下方内凹多边的牌照区域，丰富其整体层次感。</w:t>
      </w:r>
    </w:p>
    <w:p>
      <w:pPr>
        <w:rPr>
          <w:rFonts w:cs="宋体"/>
          <w:b/>
          <w:bCs/>
          <w:i/>
          <w:iCs/>
        </w:rPr>
      </w:pPr>
      <w:r>
        <w:rPr>
          <w:rFonts w:hint="eastAsia" w:cs="宋体"/>
          <w:b/>
          <w:bCs/>
          <w:i/>
          <w:iCs/>
        </w:rPr>
        <w:t>分析：。</w:t>
      </w:r>
    </w:p>
    <w:p>
      <w:pPr>
        <w:pStyle w:val="8"/>
        <w:numPr>
          <w:ilvl w:val="3"/>
          <w:numId w:val="7"/>
        </w:numPr>
        <w:ind w:left="426" w:firstLineChars="0"/>
        <w:outlineLvl w:val="1"/>
        <w:rPr>
          <w:b/>
        </w:rPr>
      </w:pPr>
      <w:r>
        <w:rPr>
          <w:b/>
        </w:rPr>
        <w:t>长安福特探险者</w:t>
      </w:r>
    </w:p>
    <w:p>
      <w:r>
        <w:rPr>
          <w:color w:val="000000"/>
        </w:rPr>
        <w:drawing>
          <wp:inline distT="0" distB="0" distL="0" distR="0">
            <wp:extent cx="2286000" cy="1428750"/>
            <wp:effectExtent l="0" t="0" r="0" b="0"/>
            <wp:docPr id="1" name="图片 1" descr="http://dss.way-s.cn/news/net_images/news163/4663201ca68561c97e797bedb895c60fd1773c8b/edf4fad50eb892380766f8cc757f459eced2ea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dss.way-s.cn/news/net_images/news163/4663201ca68561c97e797bedb895c60fd1773c8b/edf4fad50eb892380766f8cc757f459eced2eacf.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86000" cy="1428750"/>
                    </a:xfrm>
                    <a:prstGeom prst="rect">
                      <a:avLst/>
                    </a:prstGeom>
                    <a:noFill/>
                    <a:ln>
                      <a:noFill/>
                    </a:ln>
                  </pic:spPr>
                </pic:pic>
              </a:graphicData>
            </a:graphic>
          </wp:inline>
        </w:drawing>
      </w:r>
    </w:p>
    <w:p>
      <w:r>
        <w:rPr>
          <w:rFonts w:hint="eastAsia"/>
        </w:rPr>
        <w:t>近日从官方获悉，国产探险者的主销车型预售价在</w:t>
      </w:r>
      <w:r>
        <w:t>35-40万元，新车预计在6月份正式上市。从预售价来看，相比进口版的2.3T车型，其价格下落了大概5万左右。外观方面，新车延续了海外版的设计，采用了非常粗犷和硬派的设计风格，前脸的六边形进气格栅非常大气，内部中网采用点阵式设计。两侧造型动感的大灯与中网相连。下方的雾灯区域配有镀铬装饰，造型硬朗而精致。动力方面，新车将搭载代号CAF488WQGR的2.3T涡轮增压发动机，其最大功率为276马力，并可满足国六排放标准。传动方面，与之匹配的是10速自动变速箱。另外，新车</w:t>
      </w:r>
      <w:r>
        <w:rPr>
          <w:rFonts w:hint="eastAsia"/>
        </w:rPr>
        <w:t>基于纵置后驱</w:t>
      </w:r>
      <w:r>
        <w:t>CD6平台打造，将会提供后驱和四驱两种版本供消费者选择。</w:t>
      </w:r>
    </w:p>
    <w:p>
      <w:pPr>
        <w:rPr>
          <w:rFonts w:cs="宋体"/>
          <w:b/>
          <w:bCs/>
          <w:i/>
          <w:iCs/>
        </w:rPr>
      </w:pPr>
      <w:r>
        <w:rPr>
          <w:rFonts w:hint="eastAsia" w:cs="宋体"/>
          <w:b/>
          <w:bCs/>
          <w:i/>
          <w:iCs/>
        </w:rPr>
        <w:t>分析：。</w:t>
      </w:r>
    </w:p>
    <w:p>
      <w:pPr>
        <w:pStyle w:val="8"/>
        <w:numPr>
          <w:ilvl w:val="3"/>
          <w:numId w:val="7"/>
        </w:numPr>
        <w:ind w:left="426" w:firstLineChars="0"/>
        <w:outlineLvl w:val="1"/>
        <w:rPr>
          <w:b/>
        </w:rPr>
      </w:pPr>
      <w:r>
        <w:rPr>
          <w:b/>
        </w:rPr>
        <w:t>长安汽车逸动E-Life</w:t>
      </w:r>
    </w:p>
    <w:p>
      <w:r>
        <w:rPr>
          <w:color w:val="000000"/>
        </w:rPr>
        <w:drawing>
          <wp:inline distT="0" distB="0" distL="0" distR="0">
            <wp:extent cx="2286000" cy="1428750"/>
            <wp:effectExtent l="0" t="0" r="0" b="0"/>
            <wp:docPr id="22" name="图片 22" descr="http://dss.way-s.cn/news/net_images/sina/9c1b6abb3320d8f8db9e728110f57a20f883bc73/96de4cb17571f7c5582977644403837f188ceb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http://dss.way-s.cn/news/net_images/sina/9c1b6abb3320d8f8db9e728110f57a20f883bc73/96de4cb17571f7c5582977644403837f188ceb5c.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86000" cy="1428750"/>
                    </a:xfrm>
                    <a:prstGeom prst="rect">
                      <a:avLst/>
                    </a:prstGeom>
                    <a:noFill/>
                    <a:ln>
                      <a:noFill/>
                    </a:ln>
                  </pic:spPr>
                </pic:pic>
              </a:graphicData>
            </a:graphic>
          </wp:inline>
        </w:drawing>
      </w:r>
    </w:p>
    <w:p>
      <w:r>
        <w:rPr>
          <w:rFonts w:hint="eastAsia"/>
        </w:rPr>
        <w:t>长安新能源旗下全新纯电紧凑型轿车—逸动</w:t>
      </w:r>
      <w:r>
        <w:t>E-Life，将于8月份正式上市。外观方面，新车相比逸动PLUS在前脸方面有着较大的变化，前格栅采用了新能源专属的封闭式进气格栅，内部并采用菱形纹理点缀，配合上贯穿的进气口设计，使其看起来攻击性十足。此外，两侧大灯也进行了调整，并采用熏黑样式。动力方面，官方只公布了该车采用52.7千瓦时的电池组，NEDC综合工况续航里程可达425公里。</w:t>
      </w:r>
    </w:p>
    <w:p>
      <w:pPr>
        <w:rPr>
          <w:rFonts w:cs="宋体"/>
          <w:b/>
          <w:bCs/>
          <w:i/>
          <w:iCs/>
        </w:rPr>
      </w:pPr>
      <w:r>
        <w:rPr>
          <w:rFonts w:hint="eastAsia" w:cs="宋体"/>
          <w:b/>
          <w:bCs/>
          <w:i/>
          <w:iCs/>
        </w:rPr>
        <w:t>分析：。</w:t>
      </w:r>
    </w:p>
    <w:p>
      <w:pPr>
        <w:rPr>
          <w:rFonts w:cs="宋体"/>
          <w:b/>
          <w:bCs/>
          <w:i/>
          <w:iCs/>
        </w:rPr>
      </w:pPr>
    </w:p>
    <w:p>
      <w:pPr>
        <w:pStyle w:val="8"/>
        <w:numPr>
          <w:ilvl w:val="0"/>
          <w:numId w:val="8"/>
        </w:numPr>
        <w:ind w:firstLineChars="0"/>
        <w:outlineLvl w:val="0"/>
      </w:pPr>
      <w:r>
        <w:rPr>
          <w:rFonts w:hint="eastAsia" w:cs="宋体"/>
          <w:b/>
          <w:bCs/>
          <w:sz w:val="22"/>
        </w:rPr>
        <w:t>企业信息跟踪</w:t>
      </w:r>
    </w:p>
    <w:p>
      <w:pPr>
        <w:pStyle w:val="8"/>
        <w:numPr>
          <w:ilvl w:val="0"/>
          <w:numId w:val="9"/>
        </w:numPr>
        <w:ind w:firstLineChars="0"/>
        <w:outlineLvl w:val="1"/>
        <w:rPr>
          <w:b/>
        </w:rPr>
      </w:pPr>
      <w:r>
        <w:rPr>
          <w:rFonts w:hint="eastAsia"/>
          <w:b/>
        </w:rPr>
        <w:t>宝马与国网达成充电领域合作</w:t>
      </w:r>
    </w:p>
    <w:p>
      <w:r>
        <w:t>6月3日，宝马与国网电动汽车服务有限公司达成战略协议，双方将在充电技术研究创新、充电服务产品合作和推广、推动新能源车用新能源电力三大方面开展合作。</w:t>
      </w:r>
    </w:p>
    <w:p>
      <w:pPr>
        <w:rPr>
          <w:rFonts w:cs="宋体"/>
          <w:b/>
          <w:bCs/>
          <w:i/>
          <w:iCs/>
        </w:rPr>
      </w:pPr>
      <w:r>
        <w:rPr>
          <w:rFonts w:hint="eastAsia" w:cs="宋体"/>
          <w:b/>
          <w:bCs/>
          <w:i/>
          <w:iCs/>
        </w:rPr>
        <w:t>分析：。</w:t>
      </w:r>
    </w:p>
    <w:p>
      <w:pPr>
        <w:pStyle w:val="8"/>
        <w:numPr>
          <w:ilvl w:val="0"/>
          <w:numId w:val="9"/>
        </w:numPr>
        <w:ind w:firstLineChars="0"/>
        <w:outlineLvl w:val="1"/>
        <w:rPr>
          <w:b/>
        </w:rPr>
      </w:pPr>
      <w:r>
        <w:rPr>
          <w:b/>
        </w:rPr>
        <w:t>比亚迪刀片电池将扩产至12GWh</w:t>
      </w:r>
    </w:p>
    <w:p>
      <w:r>
        <w:rPr>
          <w:rFonts w:hint="eastAsia"/>
        </w:rPr>
        <w:t>根据比亚迪方面透露，其已经决定扩大重庆弗迪锂电池有限公司的“刀片电池”生产线，预计在年底以前，会将现有</w:t>
      </w:r>
      <w:r>
        <w:t>2GWh产能扩充至12GWh，并在2021年底达到20GWh。除此之外，比亚迪位于长沙和贵阳的工厂也将在明年开始投产“刀片电池”。</w:t>
      </w:r>
    </w:p>
    <w:p>
      <w:pPr>
        <w:rPr>
          <w:rFonts w:cs="宋体"/>
          <w:b/>
          <w:bCs/>
          <w:i/>
          <w:iCs/>
        </w:rPr>
      </w:pPr>
      <w:r>
        <w:rPr>
          <w:rFonts w:hint="eastAsia" w:cs="宋体"/>
          <w:b/>
          <w:bCs/>
          <w:i/>
          <w:iCs/>
        </w:rPr>
        <w:t>分析：。</w:t>
      </w:r>
    </w:p>
    <w:p>
      <w:pPr>
        <w:pStyle w:val="8"/>
        <w:numPr>
          <w:ilvl w:val="0"/>
          <w:numId w:val="9"/>
        </w:numPr>
        <w:ind w:firstLineChars="0"/>
        <w:outlineLvl w:val="1"/>
        <w:rPr>
          <w:b/>
        </w:rPr>
      </w:pPr>
      <w:r>
        <w:rPr>
          <w:rFonts w:hint="eastAsia"/>
          <w:b/>
        </w:rPr>
        <w:t>比亚迪将为福特供应动力电池</w:t>
      </w:r>
    </w:p>
    <w:p>
      <w:r>
        <w:rPr>
          <w:rFonts w:hint="eastAsia"/>
        </w:rPr>
        <w:t>工信部官网公布的一组福特锐际</w:t>
      </w:r>
      <w:r>
        <w:t>PHEV车型申报图显示，其动力电池来自西安众迪锂电池有限公司，这正是比亚迪旗下全资子公司。</w:t>
      </w:r>
    </w:p>
    <w:p>
      <w:pPr>
        <w:rPr>
          <w:rFonts w:cs="宋体"/>
          <w:b/>
          <w:bCs/>
          <w:i/>
          <w:iCs/>
        </w:rPr>
      </w:pPr>
      <w:r>
        <w:rPr>
          <w:rFonts w:hint="eastAsia" w:cs="宋体"/>
          <w:b/>
          <w:bCs/>
          <w:i/>
          <w:iCs/>
        </w:rPr>
        <w:t>分析：。</w:t>
      </w:r>
    </w:p>
    <w:p>
      <w:pPr>
        <w:pStyle w:val="8"/>
        <w:numPr>
          <w:ilvl w:val="0"/>
          <w:numId w:val="9"/>
        </w:numPr>
        <w:ind w:firstLineChars="0"/>
        <w:outlineLvl w:val="1"/>
        <w:rPr>
          <w:b/>
        </w:rPr>
      </w:pPr>
      <w:r>
        <w:rPr>
          <w:rFonts w:hint="eastAsia"/>
          <w:b/>
        </w:rPr>
        <w:t>东风与武汉市签订合作协议</w:t>
      </w:r>
      <w:r>
        <w:rPr>
          <w:b/>
        </w:rPr>
        <w:t>投资额达100亿元</w:t>
      </w:r>
    </w:p>
    <w:p>
      <w:r>
        <w:t>从东风汽车公司官方获悉，央企助力湖北疫后重振，签约72个项目，总投资超3200亿元。其中，东风公司与武汉市签订“东风汽车系列项目”合作协议，投资额100亿元。此次签约旨在深化央企与湖北战略和项目合作，助力湖北疫后重振发展。</w:t>
      </w:r>
    </w:p>
    <w:p>
      <w:pPr>
        <w:rPr>
          <w:rFonts w:cs="宋体"/>
          <w:b/>
          <w:bCs/>
          <w:i/>
          <w:iCs/>
        </w:rPr>
      </w:pPr>
      <w:r>
        <w:rPr>
          <w:rFonts w:hint="eastAsia" w:cs="宋体"/>
          <w:b/>
          <w:bCs/>
          <w:i/>
          <w:iCs/>
        </w:rPr>
        <w:t>分析：。</w:t>
      </w:r>
    </w:p>
    <w:p>
      <w:pPr>
        <w:pStyle w:val="8"/>
        <w:numPr>
          <w:ilvl w:val="0"/>
          <w:numId w:val="9"/>
        </w:numPr>
        <w:ind w:firstLineChars="0"/>
        <w:outlineLvl w:val="1"/>
        <w:rPr>
          <w:b/>
        </w:rPr>
      </w:pPr>
      <w:r>
        <w:rPr>
          <w:rFonts w:hint="eastAsia"/>
          <w:b/>
        </w:rPr>
        <w:t>广汽新能源石墨烯电池将进入量产测试</w:t>
      </w:r>
    </w:p>
    <w:p>
      <w:r>
        <w:rPr>
          <w:rFonts w:hint="eastAsia"/>
        </w:rPr>
        <w:t>广汽自主研发的基于三维结构石墨烯（</w:t>
      </w:r>
      <w:r>
        <w:t>3dg）材料的“超级快充电池”，将于今年底，石墨烯电池将进入量产测试阶段，石墨烯快充电池具备8分钟充电至85%的超级快充能力。</w:t>
      </w:r>
    </w:p>
    <w:p>
      <w:r>
        <w:rPr>
          <w:rFonts w:hint="eastAsia"/>
        </w:rPr>
        <w:t>基于广汽三维结构石墨烯（</w:t>
      </w:r>
      <w:r>
        <w:t>3dg）材料而研发的“超级快充电池”已经完成电芯、模组、电池包样件的测试工作，并在整车进行了装车大功率充电测试，电池寿命和安全性均已达到使用标准。</w:t>
      </w:r>
    </w:p>
    <w:p>
      <w:pPr>
        <w:rPr>
          <w:rFonts w:cs="宋体"/>
          <w:b/>
          <w:bCs/>
          <w:i/>
          <w:iCs/>
        </w:rPr>
      </w:pPr>
      <w:r>
        <w:rPr>
          <w:rFonts w:hint="eastAsia" w:cs="宋体"/>
          <w:b/>
          <w:bCs/>
          <w:i/>
          <w:iCs/>
        </w:rPr>
        <w:t>分析：。</w:t>
      </w:r>
    </w:p>
    <w:p>
      <w:pPr>
        <w:pStyle w:val="8"/>
        <w:numPr>
          <w:ilvl w:val="0"/>
          <w:numId w:val="9"/>
        </w:numPr>
        <w:ind w:firstLineChars="0"/>
        <w:outlineLvl w:val="1"/>
        <w:rPr>
          <w:b/>
        </w:rPr>
      </w:pPr>
      <w:r>
        <w:rPr>
          <w:b/>
        </w:rPr>
        <w:t>极星</w:t>
      </w:r>
      <w:r>
        <w:rPr>
          <w:rFonts w:hint="eastAsia"/>
          <w:b/>
        </w:rPr>
        <w:t>新车即将交付</w:t>
      </w:r>
      <w:r>
        <w:rPr>
          <w:b/>
        </w:rPr>
        <w:t>使用沃尔沃售后网络</w:t>
      </w:r>
    </w:p>
    <w:p>
      <w:r>
        <w:t>6月3日，极星宣布其数字化售后平台，将融合沃尔沃售后服务网络，为车主提供高品质的豪华体验。</w:t>
      </w:r>
    </w:p>
    <w:p>
      <w:pPr>
        <w:rPr>
          <w:rFonts w:cs="宋体"/>
          <w:b/>
          <w:bCs/>
          <w:i/>
          <w:iCs/>
        </w:rPr>
      </w:pPr>
      <w:r>
        <w:rPr>
          <w:rFonts w:hint="eastAsia" w:cs="宋体"/>
          <w:b/>
          <w:bCs/>
          <w:i/>
          <w:iCs/>
        </w:rPr>
        <w:t>分析：。</w:t>
      </w:r>
    </w:p>
    <w:p>
      <w:pPr>
        <w:pStyle w:val="8"/>
        <w:numPr>
          <w:ilvl w:val="0"/>
          <w:numId w:val="9"/>
        </w:numPr>
        <w:ind w:firstLineChars="0"/>
        <w:outlineLvl w:val="1"/>
        <w:rPr>
          <w:b/>
        </w:rPr>
      </w:pPr>
      <w:r>
        <w:rPr>
          <w:rFonts w:hint="eastAsia"/>
          <w:b/>
        </w:rPr>
        <w:t>解放推出全新氢燃料牵引车</w:t>
      </w:r>
    </w:p>
    <w:p>
      <w:r>
        <w:rPr>
          <w:rFonts w:hint="eastAsia"/>
        </w:rPr>
        <w:t>自燃料电池物流车</w:t>
      </w:r>
      <w:r>
        <w:t>J6F和燃料电池J6L4×2洒水车相继问世后，一汽解放氢燃料牵引车也正式亮相了。</w:t>
      </w:r>
    </w:p>
    <w:p>
      <w:r>
        <w:rPr>
          <w:rFonts w:hint="eastAsia"/>
        </w:rPr>
        <w:t>解放此前已经与潍柴动力、吉林白城等分别签署合作协议，将在燃料电池汽车产品上开展合作，建设了氢能的研究机构。</w:t>
      </w:r>
    </w:p>
    <w:p>
      <w:pPr>
        <w:rPr>
          <w:rFonts w:cs="宋体"/>
          <w:b/>
          <w:bCs/>
          <w:i/>
          <w:iCs/>
        </w:rPr>
      </w:pPr>
      <w:r>
        <w:rPr>
          <w:rFonts w:hint="eastAsia" w:cs="宋体"/>
          <w:b/>
          <w:bCs/>
          <w:i/>
          <w:iCs/>
        </w:rPr>
        <w:t>分析：。</w:t>
      </w:r>
    </w:p>
    <w:p>
      <w:pPr>
        <w:pStyle w:val="8"/>
        <w:numPr>
          <w:ilvl w:val="0"/>
          <w:numId w:val="9"/>
        </w:numPr>
        <w:ind w:firstLineChars="0"/>
        <w:outlineLvl w:val="1"/>
        <w:rPr>
          <w:b/>
        </w:rPr>
      </w:pPr>
      <w:r>
        <w:rPr>
          <w:b/>
        </w:rPr>
        <w:t>理想汽车自动驾驶战略2024年实现L4</w:t>
      </w:r>
    </w:p>
    <w:p>
      <w:r>
        <w:rPr>
          <w:rFonts w:hint="eastAsia"/>
        </w:rPr>
        <w:t>日前，理想汽车</w:t>
      </w:r>
      <w:r>
        <w:t>CEO李想在接受采访时，曝光了该公司的自动驾驶战略规划。从曝光的内容来看，理想汽车将会在2021到2022年实现NOA功能（根据地图导航辅助驾驶），到2023年该公司会推出全新车型X01，标配支持L4级别自动驾驶能力的硬件，预计2024年将会开始通过OTA的方式让旗下车型具备L4级别自动驾驶能力。为了实现L4级别自动驾驶能力，理想汽车已经开始深度布局相关技术的研发，其已经完成了一个名为LiOS的实时操作系统研发，该系统可以让自动驾驶系统在硬件上高效的运行，并实现不断迭代；此外理想汽车目前也已</w:t>
      </w:r>
      <w:r>
        <w:rPr>
          <w:rFonts w:hint="eastAsia"/>
        </w:rPr>
        <w:t>经获得乙级地图测绘资质，能够使该公司在</w:t>
      </w:r>
      <w:r>
        <w:t>L4级自动驾驶所必须的高精地图领域掌握主动权。</w:t>
      </w:r>
    </w:p>
    <w:p>
      <w:pPr>
        <w:rPr>
          <w:rFonts w:cs="宋体"/>
          <w:b/>
          <w:bCs/>
          <w:i/>
          <w:iCs/>
        </w:rPr>
      </w:pPr>
      <w:r>
        <w:rPr>
          <w:rFonts w:hint="eastAsia" w:cs="宋体"/>
          <w:b/>
          <w:bCs/>
          <w:i/>
          <w:iCs/>
        </w:rPr>
        <w:t>分析：。</w:t>
      </w:r>
    </w:p>
    <w:p>
      <w:pPr>
        <w:pStyle w:val="8"/>
        <w:numPr>
          <w:ilvl w:val="0"/>
          <w:numId w:val="9"/>
        </w:numPr>
        <w:ind w:firstLineChars="0"/>
        <w:outlineLvl w:val="1"/>
        <w:rPr>
          <w:b/>
        </w:rPr>
      </w:pPr>
      <w:r>
        <w:rPr>
          <w:b/>
        </w:rPr>
        <w:t>上汽认证首家二手车中心开业</w:t>
      </w:r>
    </w:p>
    <w:p>
      <w:r>
        <w:rPr>
          <w:rFonts w:hint="eastAsia"/>
        </w:rPr>
        <w:t>全国首家中国汽车品牌认证二手车中心——首家上汽认证二手车中心正式开业，其坐落于上海浦东新区，开业当日便将首辆荣威</w:t>
      </w:r>
      <w:r>
        <w:t>MARVELX和名爵6二手车交付车主。据了解，上汽认证二手车中心将负责上汽旗下荣威与名爵的二手车保值回购，提供检测、整备、认证、零售等保值营销服务，为用户甄选优质车源。</w:t>
      </w:r>
    </w:p>
    <w:p>
      <w:pPr>
        <w:rPr>
          <w:rFonts w:cs="宋体"/>
          <w:b/>
          <w:bCs/>
          <w:i/>
          <w:iCs/>
        </w:rPr>
      </w:pPr>
      <w:r>
        <w:rPr>
          <w:rFonts w:hint="eastAsia" w:cs="宋体"/>
          <w:b/>
          <w:bCs/>
          <w:i/>
          <w:iCs/>
        </w:rPr>
        <w:t>分析：。</w:t>
      </w:r>
    </w:p>
    <w:p>
      <w:pPr>
        <w:pStyle w:val="8"/>
        <w:numPr>
          <w:ilvl w:val="0"/>
          <w:numId w:val="9"/>
        </w:numPr>
        <w:ind w:firstLineChars="0"/>
        <w:outlineLvl w:val="1"/>
        <w:rPr>
          <w:b/>
        </w:rPr>
      </w:pPr>
      <w:r>
        <w:rPr>
          <w:rFonts w:hint="eastAsia"/>
          <w:b/>
        </w:rPr>
        <w:t>通用中国将本土生产电动汽车零部件</w:t>
      </w:r>
    </w:p>
    <w:p>
      <w:r>
        <w:t>6月3日，刚刚履新不久的通用汽车全球执行副总裁、通用汽车中国总裁柏历在媒体沟通会上透露，通用将在中国引入全新的电动汽车平台，并将电动汽车的电机、电池等核心零部件在国内生产。</w:t>
      </w:r>
    </w:p>
    <w:p>
      <w:r>
        <w:rPr>
          <w:rFonts w:hint="eastAsia"/>
        </w:rPr>
        <w:t>同时，他表示在电动汽车零部件供应上也会考虑与更多本土供应商合作，他此前去拜访过宁德时代，认为这是一家非常好的电池供应商，不排除与宁德时代合作。</w:t>
      </w:r>
    </w:p>
    <w:p>
      <w:pPr>
        <w:rPr>
          <w:rFonts w:cs="宋体"/>
          <w:b/>
          <w:bCs/>
          <w:i/>
          <w:iCs/>
        </w:rPr>
      </w:pPr>
      <w:r>
        <w:rPr>
          <w:rFonts w:hint="eastAsia" w:cs="宋体"/>
          <w:b/>
          <w:bCs/>
          <w:i/>
          <w:iCs/>
        </w:rPr>
        <w:t>分析：。</w:t>
      </w:r>
    </w:p>
    <w:p>
      <w:pPr>
        <w:pStyle w:val="8"/>
        <w:numPr>
          <w:ilvl w:val="0"/>
          <w:numId w:val="9"/>
        </w:numPr>
        <w:ind w:firstLineChars="0"/>
        <w:outlineLvl w:val="1"/>
        <w:rPr>
          <w:b/>
        </w:rPr>
      </w:pPr>
      <w:r>
        <w:rPr>
          <w:b/>
        </w:rPr>
        <w:t>潍柴</w:t>
      </w:r>
      <w:r>
        <w:rPr>
          <w:rFonts w:hint="eastAsia"/>
          <w:b/>
        </w:rPr>
        <w:t>驾“氢”就熟</w:t>
      </w:r>
    </w:p>
    <w:p>
      <w:r>
        <w:t>2020年6月1日，潍柴150辆氢燃料电池公交车在山东潍坊正式运营。。</w:t>
      </w:r>
    </w:p>
    <w:p>
      <w:pPr>
        <w:rPr>
          <w:rFonts w:cs="宋体"/>
          <w:b/>
          <w:bCs/>
          <w:i/>
          <w:iCs/>
        </w:rPr>
      </w:pPr>
      <w:r>
        <w:rPr>
          <w:rFonts w:hint="eastAsia" w:cs="宋体"/>
          <w:b/>
          <w:bCs/>
          <w:i/>
          <w:iCs/>
        </w:rPr>
        <w:t>分析：。</w:t>
      </w:r>
    </w:p>
    <w:p>
      <w:pPr>
        <w:pStyle w:val="8"/>
        <w:numPr>
          <w:ilvl w:val="0"/>
          <w:numId w:val="9"/>
        </w:numPr>
        <w:ind w:firstLineChars="0"/>
        <w:outlineLvl w:val="1"/>
        <w:rPr>
          <w:b/>
        </w:rPr>
      </w:pPr>
      <w:r>
        <w:rPr>
          <w:b/>
        </w:rPr>
        <w:t>五菱</w:t>
      </w:r>
      <w:r>
        <w:rPr>
          <w:rFonts w:hint="eastAsia"/>
          <w:b/>
        </w:rPr>
        <w:t>推出</w:t>
      </w:r>
      <w:r>
        <w:rPr>
          <w:b/>
        </w:rPr>
        <w:t>"地摊经济"售货车大涨超100%</w:t>
      </w:r>
    </w:p>
    <w:p>
      <w:r>
        <w:rPr>
          <w:rFonts w:hint="eastAsia"/>
        </w:rPr>
        <w:t>这款售货车整车高度</w:t>
      </w:r>
      <w:r>
        <w:t>2.26米，货厢空间达5300L；左右侧门、后门向上翻启85度角，扩大遮阳挡雨面积，配合倒流槽设计，快速向外引流雨水不倒灌。下边板安装有挂钩可平铺使用，承重力强，扩大货台面积。</w:t>
      </w:r>
    </w:p>
    <w:p>
      <w:pPr>
        <w:rPr>
          <w:rFonts w:cs="宋体"/>
          <w:b/>
          <w:bCs/>
          <w:i/>
          <w:iCs/>
        </w:rPr>
      </w:pPr>
      <w:r>
        <w:rPr>
          <w:rFonts w:hint="eastAsia" w:cs="宋体"/>
          <w:b/>
          <w:bCs/>
          <w:i/>
          <w:iCs/>
        </w:rPr>
        <w:t>分析：。</w:t>
      </w:r>
    </w:p>
    <w:p>
      <w:pPr>
        <w:pStyle w:val="8"/>
        <w:numPr>
          <w:ilvl w:val="0"/>
          <w:numId w:val="9"/>
        </w:numPr>
        <w:ind w:firstLineChars="0"/>
        <w:outlineLvl w:val="1"/>
        <w:rPr>
          <w:b/>
        </w:rPr>
      </w:pPr>
      <w:r>
        <w:rPr>
          <w:b/>
        </w:rPr>
        <w:t>玉柴获纯电动货车生产资质</w:t>
      </w:r>
    </w:p>
    <w:p>
      <w:r>
        <w:rPr>
          <w:rFonts w:hint="eastAsia"/>
        </w:rPr>
        <w:t>工业和信息化部网站发布了新增纯电动车辆生产企业名单，玉柴集团旗下广西玉柴新能源汽车有限公司赫然在列。这标志着玉柴正式获得新能源商用车生产企业资质。</w:t>
      </w:r>
    </w:p>
    <w:p>
      <w:r>
        <w:rPr>
          <w:rFonts w:hint="eastAsia"/>
        </w:rPr>
        <w:t>玉柴纯电动商用车项目规划总投资</w:t>
      </w:r>
      <w:r>
        <w:t>13.40亿元，被列为广西机械工业二次创业重点项目和自治区层面统筹推进的重大项目。它的建设不仅将助力玉柴实现从发动机领域向汽车领域的跨越，同时也将促进广西新能源汽车产业的快速发展。目前项目一期已进入设备调试及样车装配阶段，今年7月投产后将形成每年2万辆纯电动商用车的产能。</w:t>
      </w:r>
    </w:p>
    <w:p>
      <w:pPr>
        <w:rPr>
          <w:rFonts w:cs="宋体"/>
          <w:b/>
          <w:bCs/>
          <w:i/>
          <w:iCs/>
        </w:rPr>
      </w:pPr>
      <w:r>
        <w:rPr>
          <w:rFonts w:hint="eastAsia" w:cs="宋体"/>
          <w:b/>
          <w:bCs/>
          <w:i/>
          <w:iCs/>
        </w:rPr>
        <w:t>分析：。</w:t>
      </w:r>
    </w:p>
    <w:p>
      <w:pPr>
        <w:rPr>
          <w:rFonts w:cs="宋体"/>
          <w:b/>
          <w:bCs/>
          <w:i/>
          <w:iCs/>
        </w:rPr>
      </w:pPr>
    </w:p>
    <w:p>
      <w:pPr>
        <w:pStyle w:val="8"/>
        <w:numPr>
          <w:ilvl w:val="0"/>
          <w:numId w:val="8"/>
        </w:numPr>
        <w:ind w:firstLineChars="0"/>
        <w:outlineLvl w:val="0"/>
      </w:pPr>
      <w:r>
        <w:rPr>
          <w:rFonts w:hint="eastAsia" w:cs="宋体"/>
          <w:b/>
          <w:bCs/>
        </w:rPr>
        <w:t>行业信息跟踪</w:t>
      </w:r>
    </w:p>
    <w:p>
      <w:pPr>
        <w:pStyle w:val="8"/>
        <w:numPr>
          <w:ilvl w:val="0"/>
          <w:numId w:val="10"/>
        </w:numPr>
        <w:ind w:firstLineChars="0"/>
        <w:outlineLvl w:val="1"/>
        <w:rPr>
          <w:b/>
        </w:rPr>
      </w:pPr>
      <w:r>
        <w:rPr>
          <w:b/>
        </w:rPr>
        <w:t>2020中国经销商汽车金融满意度研究</w:t>
      </w:r>
    </w:p>
    <w:p>
      <w:r>
        <w:t>J.D.Power最新发布2020中国经销商汽车金融满意度研究SM(DFS)显示，中国市场汽车金融渗透率从去年的50%微弱增长至52%，且汽车金融业务对经销商整体利润的贡献率仅为10%，连续四年未能取得明显突破。</w:t>
      </w:r>
    </w:p>
    <w:p>
      <w:r>
        <w:t>贴息制度实行多年，对汽车金融渗透率的提升效果越来越有限。汽车金融产品手续费的竞争性下调，也制约了经销商汽车金融板块收入和利润的进一步增长。”</w:t>
      </w:r>
    </w:p>
    <w:p>
      <w:pPr>
        <w:rPr>
          <w:rFonts w:cs="宋体"/>
          <w:b/>
          <w:bCs/>
          <w:i/>
          <w:iCs/>
        </w:rPr>
      </w:pPr>
      <w:r>
        <w:rPr>
          <w:rFonts w:hint="eastAsia" w:cs="宋体"/>
          <w:b/>
          <w:bCs/>
          <w:i/>
          <w:iCs/>
        </w:rPr>
        <w:t>分析：。</w:t>
      </w:r>
    </w:p>
    <w:p>
      <w:pPr>
        <w:pStyle w:val="8"/>
        <w:numPr>
          <w:ilvl w:val="0"/>
          <w:numId w:val="10"/>
        </w:numPr>
        <w:ind w:firstLineChars="0"/>
        <w:outlineLvl w:val="1"/>
        <w:rPr>
          <w:b/>
        </w:rPr>
      </w:pPr>
      <w:r>
        <w:rPr>
          <w:b/>
        </w:rPr>
        <w:t>5月库存预警指数环比再降</w:t>
      </w:r>
    </w:p>
    <w:p>
      <w:r>
        <w:t>5月经销商库存预警指数为54.2%，环比下降4.6%，同比上升0.4%，仍位于荣枯线之上。流通协会表示，“五一”期间，大幅的降价促销和政策红利的释放带动了客流量及销量的回升，却也透支了市场需求，以致5月下半月市场表现不强，销量回升势头趋缓。</w:t>
      </w:r>
    </w:p>
    <w:p>
      <w:pPr>
        <w:rPr>
          <w:rFonts w:cs="宋体"/>
          <w:b/>
          <w:bCs/>
          <w:i/>
          <w:iCs/>
        </w:rPr>
      </w:pPr>
      <w:r>
        <w:rPr>
          <w:rFonts w:hint="eastAsia" w:cs="宋体"/>
          <w:b/>
          <w:bCs/>
          <w:i/>
          <w:iCs/>
        </w:rPr>
        <w:t>分析：。</w:t>
      </w:r>
    </w:p>
    <w:p>
      <w:pPr>
        <w:outlineLvl w:val="1"/>
        <w:rPr>
          <w:b/>
        </w:rPr>
      </w:pPr>
      <w:r>
        <w:rPr>
          <w:rFonts w:hint="eastAsia"/>
          <w:b/>
        </w:rPr>
        <w:t>3</w:t>
      </w:r>
      <w:r>
        <w:rPr>
          <w:b/>
        </w:rPr>
        <w:t>.</w:t>
      </w:r>
      <w:r>
        <w:rPr>
          <w:rFonts w:hint="eastAsia"/>
          <w:b/>
        </w:rPr>
        <w:t>北汽集团拟收购神州租车</w:t>
      </w:r>
      <w:r>
        <w:rPr>
          <w:b/>
        </w:rPr>
        <w:t>21.26%股份</w:t>
      </w:r>
    </w:p>
    <w:p>
      <w:r>
        <w:t>6月1日讯，神州租车发布公告称，董事会已获神州优车告知，神州优车已于5月31日与北京汽车集团有限公司订立一份无法律约束力的战略合作协议。北汽集团将向神州优车收购不多于450,790,855股股份，相当于本公司于本公告日期已发行股本总额约21.26%。</w:t>
      </w:r>
    </w:p>
    <w:p>
      <w:pPr>
        <w:rPr>
          <w:rFonts w:cs="宋体"/>
          <w:b/>
          <w:bCs/>
          <w:i/>
          <w:iCs/>
        </w:rPr>
      </w:pPr>
      <w:r>
        <w:rPr>
          <w:rFonts w:hint="eastAsia" w:cs="宋体"/>
          <w:b/>
          <w:bCs/>
          <w:i/>
          <w:iCs/>
        </w:rPr>
        <w:t>分析：。</w:t>
      </w:r>
    </w:p>
    <w:p>
      <w:pPr>
        <w:outlineLvl w:val="1"/>
        <w:rPr>
          <w:b/>
        </w:rPr>
      </w:pPr>
      <w:r>
        <w:rPr>
          <w:rFonts w:hint="eastAsia"/>
          <w:b/>
        </w:rPr>
        <w:t>4</w:t>
      </w:r>
      <w:r>
        <w:rPr>
          <w:b/>
        </w:rPr>
        <w:t>.</w:t>
      </w:r>
      <w:r>
        <w:rPr>
          <w:rFonts w:hint="eastAsia"/>
          <w:b/>
        </w:rPr>
        <w:t>大众将收购江汽控股</w:t>
      </w:r>
      <w:r>
        <w:rPr>
          <w:b/>
        </w:rPr>
        <w:t>50%股权</w:t>
      </w:r>
    </w:p>
    <w:p>
      <w:r>
        <w:t>5月29日，江淮汽车发布公告称，安徽省国资委、大众中国投资、江汽控股签署了《关于向安徽江淮汽车集团控股有限公司增资之意向书》。大众中国将于2020年12月31日前（或各方另行约定日期），通过增资的方式获取安徽江淮汽车集团控股有限公司50%的股权，而安徽省国资委则持有剩余的50%股权，并仍将控制该公司。</w:t>
      </w:r>
    </w:p>
    <w:p>
      <w:pPr>
        <w:rPr>
          <w:rFonts w:cs="宋体"/>
          <w:b/>
          <w:bCs/>
          <w:i/>
          <w:iCs/>
        </w:rPr>
      </w:pPr>
      <w:r>
        <w:rPr>
          <w:rFonts w:hint="eastAsia" w:cs="宋体"/>
          <w:b/>
          <w:bCs/>
          <w:i/>
          <w:iCs/>
        </w:rPr>
        <w:t>分析：。</w:t>
      </w:r>
    </w:p>
    <w:p>
      <w:pPr>
        <w:outlineLvl w:val="1"/>
        <w:rPr>
          <w:b/>
        </w:rPr>
      </w:pPr>
      <w:r>
        <w:rPr>
          <w:rFonts w:hint="eastAsia"/>
          <w:b/>
        </w:rPr>
        <w:t>5</w:t>
      </w:r>
      <w:r>
        <w:rPr>
          <w:b/>
        </w:rPr>
        <w:t>.</w:t>
      </w:r>
      <w:r>
        <w:rPr>
          <w:rFonts w:hint="eastAsia"/>
          <w:b/>
        </w:rPr>
        <w:t>地摊经济火爆</w:t>
      </w:r>
      <w:r>
        <w:rPr>
          <w:b/>
        </w:rPr>
        <w:t>为什么受青睐的是微卡</w:t>
      </w:r>
    </w:p>
    <w:p>
      <w:r>
        <w:rPr>
          <w:rFonts w:hint="eastAsia"/>
        </w:rPr>
        <w:t>微卡一直以来作为城乡运输的重要运输工具，凭借着小巧灵活的车身以及实惠的价格在市场上的热度一直很高。不只是现在大火的地摊经济，之前因为蓝牌轻卡面临着稍微拉点货就超载、不好上牌以及按轴收费政策不明朗的尴尬状况，早已让不少打算买轻卡的人也把目光转向了微卡。</w:t>
      </w:r>
    </w:p>
    <w:p>
      <w:r>
        <w:rPr>
          <w:rFonts w:hint="eastAsia"/>
        </w:rPr>
        <w:t>微卡的四大优势：</w:t>
      </w:r>
      <w:r>
        <w:t>1、自身轻拉货不比轻卡少2、价格便宜前期投入少3、上牌容易不容易被卡4、车身小巧更灵活</w:t>
      </w:r>
    </w:p>
    <w:p>
      <w:r>
        <w:rPr>
          <w:rFonts w:hint="eastAsia"/>
        </w:rPr>
        <w:t>微卡的发展有这些趋势：</w:t>
      </w:r>
      <w:r>
        <w:t>1、货箱越做越大最长能达4.05米2、内饰轿车化更舒适性3、多种动力形式可选总有一款适合你4、公告齐全使用场景广泛</w:t>
      </w:r>
    </w:p>
    <w:p>
      <w:pPr>
        <w:rPr>
          <w:rFonts w:cs="宋体"/>
          <w:b/>
          <w:bCs/>
          <w:i/>
          <w:iCs/>
        </w:rPr>
      </w:pPr>
      <w:r>
        <w:rPr>
          <w:rFonts w:hint="eastAsia" w:cs="宋体"/>
          <w:b/>
          <w:bCs/>
          <w:i/>
          <w:iCs/>
        </w:rPr>
        <w:t>分析：。</w:t>
      </w:r>
    </w:p>
    <w:p>
      <w:pPr>
        <w:outlineLvl w:val="1"/>
        <w:rPr>
          <w:b/>
        </w:rPr>
      </w:pPr>
      <w:r>
        <w:rPr>
          <w:rFonts w:hint="eastAsia"/>
          <w:b/>
        </w:rPr>
        <w:t>6</w:t>
      </w:r>
      <w:r>
        <w:rPr>
          <w:b/>
        </w:rPr>
        <w:t>.</w:t>
      </w:r>
      <w:r>
        <w:rPr>
          <w:rFonts w:hint="eastAsia"/>
          <w:b/>
        </w:rPr>
        <w:t>恒大新能源又一整车基地本月</w:t>
      </w:r>
      <w:r>
        <w:rPr>
          <w:b/>
        </w:rPr>
        <w:t>25日开建</w:t>
      </w:r>
    </w:p>
    <w:p>
      <w:r>
        <w:rPr>
          <w:rFonts w:hint="eastAsia"/>
        </w:rPr>
        <w:t>从湖南湘阴县政府获悉，总投资</w:t>
      </w:r>
      <w:r>
        <w:t>300亿元的恒大新能源湘阴整车生产基地即将于6月25日开工建设。该基地是恒大新能源继郑州、天津、广州、沈阳后的第五个生产基地，但规模不及广州、沈阳等千亿级投资额。除整车生产外，恒大新能源还投资150亿元用于电机项目，约35亿元新能源动力电池项目。</w:t>
      </w:r>
    </w:p>
    <w:p>
      <w:pPr>
        <w:rPr>
          <w:rFonts w:cs="宋体"/>
          <w:b/>
          <w:bCs/>
          <w:i/>
          <w:iCs/>
        </w:rPr>
      </w:pPr>
      <w:r>
        <w:rPr>
          <w:rFonts w:hint="eastAsia" w:cs="宋体"/>
          <w:b/>
          <w:bCs/>
          <w:i/>
          <w:iCs/>
        </w:rPr>
        <w:t>分析：。</w:t>
      </w:r>
    </w:p>
    <w:p>
      <w:pPr>
        <w:outlineLvl w:val="1"/>
        <w:rPr>
          <w:b/>
        </w:rPr>
      </w:pPr>
      <w:r>
        <w:rPr>
          <w:rFonts w:hint="eastAsia"/>
          <w:b/>
        </w:rPr>
        <w:t>7</w:t>
      </w:r>
      <w:r>
        <w:rPr>
          <w:b/>
        </w:rPr>
        <w:t>.</w:t>
      </w:r>
      <w:r>
        <w:rPr>
          <w:rFonts w:hint="eastAsia"/>
          <w:b/>
        </w:rPr>
        <w:t>交通部</w:t>
      </w:r>
      <w:r>
        <w:rPr>
          <w:b/>
        </w:rPr>
        <w:t>:ETC乱扣费/费用上涨等已解决</w:t>
      </w:r>
    </w:p>
    <w:p>
      <w:r>
        <w:t>5月29日，交通运输部举行5月份例行新闻发布会，新闻发言人孙文剑介绍称，针对公众关注的ETC精准计费、费额显示、发票开具等一系列问题，目前均已得到有效解决，每天正常完成的交易量约3000万笔。</w:t>
      </w:r>
    </w:p>
    <w:p>
      <w:pPr>
        <w:rPr>
          <w:rFonts w:cs="宋体"/>
          <w:b/>
          <w:bCs/>
          <w:i/>
          <w:iCs/>
        </w:rPr>
      </w:pPr>
      <w:r>
        <w:rPr>
          <w:rFonts w:hint="eastAsia" w:cs="宋体"/>
          <w:b/>
          <w:bCs/>
          <w:i/>
          <w:iCs/>
        </w:rPr>
        <w:t>分析：。</w:t>
      </w:r>
    </w:p>
    <w:p>
      <w:pPr>
        <w:outlineLvl w:val="1"/>
        <w:rPr>
          <w:b/>
        </w:rPr>
      </w:pPr>
      <w:r>
        <w:rPr>
          <w:rFonts w:hint="eastAsia"/>
          <w:b/>
        </w:rPr>
        <w:t>8</w:t>
      </w:r>
      <w:r>
        <w:rPr>
          <w:b/>
        </w:rPr>
        <w:t>.经销商</w:t>
      </w:r>
      <w:r>
        <w:rPr>
          <w:rFonts w:hint="eastAsia"/>
          <w:b/>
        </w:rPr>
        <w:t>价格倒挂现象严重</w:t>
      </w:r>
      <w:r>
        <w:rPr>
          <w:b/>
        </w:rPr>
        <w:t>去年一半亏损</w:t>
      </w:r>
    </w:p>
    <w:p>
      <w:r>
        <w:t>2019年有47.6%的汽车经销商处于经营亏损状态。虽然盈利经销商占比相比于上年度（2018年度）的46.5%有所上升，但是行业状况仍不容乐观。当前，经销商亏损比例高居不下的根本原因是价格倒挂。据调研数据显示，70.3%的经销商反映其代理的主要产品的市场价格低于厂家的批发价格；有55.2%的经销商在所代理的所有产品中，能通过价差获</w:t>
      </w:r>
      <w:r>
        <w:rPr>
          <w:rFonts w:hint="eastAsia"/>
        </w:rPr>
        <w:t>利的产品比重仅在</w:t>
      </w:r>
      <w:r>
        <w:t>10%以下；仅有9.5%的经销商有超过一半的产品能够获利。综合来看，2019年亏损比例下降原有三，一是去年下半年开始，终端零售折让幅度有所回调；二是豪华品牌整体走势较强；三是部分高亏损的经销商陆续退网或切换其他品牌。从经销商行业具体利润来看，有6.8%的汽车经销商在2019年亏损500万元以上，35.0%的经销商亏损100万元以上；仅有11.3%的经销商盈利500万元以上。保时捷、雷克萨斯品牌经销商盈利能力较强，整体日系品牌经营表现比较突出。</w:t>
      </w:r>
    </w:p>
    <w:p>
      <w:pPr>
        <w:rPr>
          <w:rFonts w:cs="宋体"/>
          <w:b/>
          <w:bCs/>
          <w:i/>
          <w:iCs/>
        </w:rPr>
      </w:pPr>
      <w:r>
        <w:rPr>
          <w:rFonts w:hint="eastAsia" w:cs="宋体"/>
          <w:b/>
          <w:bCs/>
          <w:i/>
          <w:iCs/>
        </w:rPr>
        <w:t>分析：。</w:t>
      </w:r>
    </w:p>
    <w:p>
      <w:pPr>
        <w:outlineLvl w:val="1"/>
        <w:rPr>
          <w:b/>
        </w:rPr>
      </w:pPr>
      <w:r>
        <w:rPr>
          <w:rFonts w:hint="eastAsia"/>
          <w:b/>
        </w:rPr>
        <w:t>9</w:t>
      </w:r>
      <w:r>
        <w:rPr>
          <w:b/>
        </w:rPr>
        <w:t>.</w:t>
      </w:r>
      <w:r>
        <w:rPr>
          <w:rFonts w:hint="eastAsia"/>
          <w:b/>
        </w:rPr>
        <w:t>深圳出台支持智能网联汽车发展专项政策，最高资助</w:t>
      </w:r>
      <w:r>
        <w:rPr>
          <w:b/>
        </w:rPr>
        <w:t>2亿元</w:t>
      </w:r>
    </w:p>
    <w:p>
      <w:r>
        <w:rPr>
          <w:rFonts w:hint="eastAsia"/>
        </w:rPr>
        <w:t>《深圳市关于支持智能网联汽车发展的若干措施》发布。文件指出，将围绕智能网联汽车产业链核心领域和重要环节，聚焦制约产业发展的技术短板，面向全球悬赏任务承接团队，重点解决前沿技术工程化和关键零部件研制等瓶颈问题，按项目总投资</w:t>
      </w:r>
      <w:r>
        <w:t>40%予以资助，最高不超过2亿元。</w:t>
      </w:r>
    </w:p>
    <w:p>
      <w:pPr>
        <w:rPr>
          <w:rFonts w:cs="宋体"/>
          <w:b/>
          <w:bCs/>
          <w:i/>
          <w:iCs/>
        </w:rPr>
      </w:pPr>
      <w:r>
        <w:rPr>
          <w:rFonts w:hint="eastAsia" w:cs="宋体"/>
          <w:b/>
          <w:bCs/>
          <w:i/>
          <w:iCs/>
        </w:rPr>
        <w:t>分析：。</w:t>
      </w:r>
    </w:p>
    <w:p>
      <w:pPr>
        <w:outlineLvl w:val="1"/>
        <w:rPr>
          <w:b/>
        </w:rPr>
      </w:pPr>
      <w:r>
        <w:rPr>
          <w:rFonts w:hint="eastAsia"/>
          <w:b/>
        </w:rPr>
        <w:t>1</w:t>
      </w:r>
      <w:r>
        <w:rPr>
          <w:b/>
        </w:rPr>
        <w:t>0.新能源车</w:t>
      </w:r>
      <w:r>
        <w:rPr>
          <w:rFonts w:hint="eastAsia"/>
          <w:b/>
        </w:rPr>
        <w:t>专属保险缺位</w:t>
      </w:r>
      <w:r>
        <w:rPr>
          <w:b/>
        </w:rPr>
        <w:t>只能按原价投保</w:t>
      </w:r>
    </w:p>
    <w:p>
      <w:r>
        <w:rPr>
          <w:rFonts w:hint="eastAsia"/>
        </w:rPr>
        <w:t>随着新能源车型在国内市场所占的比重逐年增高，却没有相适应配套的专属车险，套用燃油车的理赔及车险标志，广大新能源车主和险企都感到不便，车险行业面临巨大挑战。</w:t>
      </w:r>
    </w:p>
    <w:p>
      <w:r>
        <w:rPr>
          <w:rFonts w:hint="eastAsia"/>
        </w:rPr>
        <w:t>当前不少保险公司实行“按补贴前价格投保，按补贴后价格赔付”，如此一来让不少新能源车主“很糟心”。</w:t>
      </w:r>
    </w:p>
    <w:p>
      <w:r>
        <w:rPr>
          <w:rFonts w:hint="eastAsia"/>
        </w:rPr>
        <w:t>保险业协会已组织力量成立了新能源汽车保险专属条款工作组，积极开展条款研发工作。新能源车险条款已初步征求过行业和有关专家意见，下一步将继续修改完善，力争早日推出新能源汽车保险专属示范产品。</w:t>
      </w:r>
    </w:p>
    <w:p>
      <w:pPr>
        <w:rPr>
          <w:rFonts w:cs="宋体"/>
          <w:b/>
          <w:bCs/>
          <w:i/>
          <w:iCs/>
        </w:rPr>
      </w:pPr>
      <w:r>
        <w:rPr>
          <w:rFonts w:hint="eastAsia" w:cs="宋体"/>
          <w:b/>
          <w:bCs/>
          <w:i/>
          <w:iCs/>
        </w:rPr>
        <w:t>分析：。</w:t>
      </w:r>
    </w:p>
    <w:p>
      <w:pPr>
        <w:outlineLvl w:val="1"/>
        <w:rPr>
          <w:b/>
        </w:rPr>
      </w:pPr>
      <w:r>
        <w:rPr>
          <w:rFonts w:hint="eastAsia"/>
          <w:b/>
        </w:rPr>
        <w:t>1</w:t>
      </w:r>
      <w:r>
        <w:rPr>
          <w:b/>
        </w:rPr>
        <w:t>1.</w:t>
      </w:r>
      <w:r>
        <w:rPr>
          <w:rFonts w:hint="eastAsia"/>
          <w:b/>
        </w:rPr>
        <w:t>一汽东风长安正式成立智能电动合资公司</w:t>
      </w:r>
    </w:p>
    <w:p>
      <w:r>
        <w:t>一汽、长安、东风联合中国兵器装备集团有限公司、南京江宁经开科技发展有限公司在南京成立了中汽创智科技有限公司。</w:t>
      </w:r>
    </w:p>
    <w:p>
      <w:pPr>
        <w:rPr>
          <w:rFonts w:cs="宋体"/>
          <w:b/>
          <w:bCs/>
          <w:i/>
          <w:iCs/>
        </w:rPr>
      </w:pPr>
      <w:r>
        <w:rPr>
          <w:rFonts w:hint="eastAsia" w:cs="宋体"/>
          <w:b/>
          <w:bCs/>
          <w:i/>
          <w:iCs/>
        </w:rPr>
        <w:t>分析：。</w:t>
      </w:r>
    </w:p>
    <w:p>
      <w:pPr>
        <w:rPr>
          <w:rFonts w:cs="宋体"/>
          <w:b/>
          <w:bCs/>
          <w:i/>
          <w:iCs/>
        </w:rPr>
      </w:pPr>
    </w:p>
    <w:p>
      <w:pPr>
        <w:pStyle w:val="8"/>
        <w:numPr>
          <w:ilvl w:val="0"/>
          <w:numId w:val="8"/>
        </w:numPr>
        <w:ind w:firstLineChars="0"/>
        <w:outlineLvl w:val="0"/>
        <w:rPr>
          <w:b/>
        </w:rPr>
      </w:pPr>
      <w:r>
        <w:rPr>
          <w:rFonts w:hint="eastAsia" w:cs="宋体"/>
          <w:b/>
          <w:bCs/>
        </w:rPr>
        <w:t>跨国集团和国际市场</w:t>
      </w:r>
    </w:p>
    <w:p>
      <w:pPr>
        <w:pStyle w:val="8"/>
        <w:numPr>
          <w:ilvl w:val="0"/>
          <w:numId w:val="11"/>
        </w:numPr>
        <w:ind w:firstLineChars="0"/>
        <w:outlineLvl w:val="1"/>
        <w:rPr>
          <w:b/>
        </w:rPr>
      </w:pPr>
      <w:r>
        <w:rPr>
          <w:b/>
        </w:rPr>
        <w:t>阿尔法·罗密欧新车规划2022年推纯电SUV</w:t>
      </w:r>
    </w:p>
    <w:p>
      <w:r>
        <w:rPr>
          <w:rFonts w:hint="eastAsia"/>
        </w:rPr>
        <w:t>阿尔法·罗密欧计划于</w:t>
      </w:r>
      <w:r>
        <w:t>2022年推出一款全新纯电小型suv；此前亮相的紧凑型suvtonale也将于2021年推出，该车将搭载插电式混合动力系统。</w:t>
      </w:r>
    </w:p>
    <w:p>
      <w:r>
        <w:rPr>
          <w:rFonts w:hint="eastAsia" w:cs="宋体"/>
          <w:b/>
          <w:bCs/>
          <w:i/>
          <w:iCs/>
        </w:rPr>
        <w:t>分析：。</w:t>
      </w:r>
    </w:p>
    <w:p>
      <w:pPr>
        <w:pStyle w:val="8"/>
        <w:numPr>
          <w:ilvl w:val="0"/>
          <w:numId w:val="11"/>
        </w:numPr>
        <w:ind w:firstLineChars="0"/>
        <w:outlineLvl w:val="1"/>
        <w:rPr>
          <w:b/>
        </w:rPr>
      </w:pPr>
      <w:r>
        <w:rPr>
          <w:b/>
        </w:rPr>
        <w:t>奥迪将推会话型出行助手</w:t>
      </w:r>
      <w:r>
        <w:rPr>
          <w:rFonts w:hint="eastAsia"/>
          <w:b/>
        </w:rPr>
        <w:t>人车交互更智能</w:t>
      </w:r>
    </w:p>
    <w:p>
      <w:r>
        <w:rPr>
          <w:rFonts w:hint="eastAsia"/>
        </w:rPr>
        <w:t>为改善车载信息互动娱乐系统，尤其是语音控制系统的使用体验，奥迪一直在持续努力。近日，美国车载</w:t>
      </w:r>
      <w:r>
        <w:t>AI软件开发公司Cerence（赛轮思）宣布，CerenceDrive平台将为奥迪全新的下一代语音助手带来对话式交互体验升级。</w:t>
      </w:r>
    </w:p>
    <w:p>
      <w:r>
        <w:rPr>
          <w:rFonts w:hint="eastAsia"/>
        </w:rPr>
        <w:t>奥迪互联服务及语音助手开发部负责人</w:t>
      </w:r>
      <w:r>
        <w:t>MartinDeinhard表示，AudiConnect平台旨在为驾驶者、汽车和外部世界之间打造更深层次的整合和互动。</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奥迪设立</w:t>
      </w:r>
      <w:r>
        <w:rPr>
          <w:b/>
        </w:rPr>
        <w:t>Artemis项目2024年前推全新电动车</w:t>
      </w:r>
    </w:p>
    <w:p>
      <w:r>
        <w:rPr>
          <w:rFonts w:hint="eastAsia"/>
        </w:rPr>
        <w:t>奥迪新任</w:t>
      </w:r>
      <w:r>
        <w:t>ceo马库斯·杜兹曼决定建立一项名为“artemis”高科技项目部门。据介绍，该部门由赛车总工程师亚历克斯·希青格率领，其首要任务是研发一款高能效纯电动车型，该车计划最早于2024年发布。</w:t>
      </w:r>
    </w:p>
    <w:p>
      <w:pPr>
        <w:rPr>
          <w:rFonts w:cs="宋体"/>
          <w:b/>
          <w:bCs/>
          <w:i/>
          <w:iCs/>
        </w:rPr>
      </w:pPr>
      <w:r>
        <w:rPr>
          <w:rFonts w:hint="eastAsia" w:cs="宋体"/>
          <w:b/>
          <w:bCs/>
          <w:i/>
          <w:iCs/>
        </w:rPr>
        <w:t>分析：。</w:t>
      </w:r>
    </w:p>
    <w:p>
      <w:pPr>
        <w:pStyle w:val="8"/>
        <w:numPr>
          <w:ilvl w:val="0"/>
          <w:numId w:val="11"/>
        </w:numPr>
        <w:ind w:firstLineChars="0"/>
        <w:outlineLvl w:val="1"/>
        <w:rPr>
          <w:b/>
        </w:rPr>
      </w:pPr>
      <w:r>
        <w:rPr>
          <w:b/>
        </w:rPr>
        <w:t>奥迪宣布成立Artemis部门</w:t>
      </w:r>
      <w:r>
        <w:rPr>
          <w:rFonts w:hint="eastAsia"/>
          <w:b/>
        </w:rPr>
        <w:t>加速电气化进程</w:t>
      </w:r>
    </w:p>
    <w:p>
      <w:r>
        <w:t>奥迪新任CEO马库斯·杜兹曼决定建立Artemis高科技项目部门；据介绍，奥迪此次创建Artemis部门的初衷是将奥迪自动驾驶系统等先进技术、电动汽车产品等快速推向市场。该部门第一项任务是开发一款高效电动汽车，计划最早于2024年投放市场。</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宝马欲削减</w:t>
      </w:r>
      <w:r>
        <w:rPr>
          <w:b/>
        </w:rPr>
        <w:t>5,000个就业岗位或提升离职补贴</w:t>
      </w:r>
    </w:p>
    <w:p>
      <w:r>
        <w:t>宝马集团计划削减5,000个工作岗位，可能对失业员工提供更多的离职补贴，从而鼓励员工自愿离职。宝马首席财务官NicolasPeter在公司内部公告中表示，公司已无法通过现有措施实现裁员目标，这些措施包括安排员工进行无薪休假，以及缩短合同期较短员工的工作时间。</w:t>
      </w:r>
    </w:p>
    <w:p>
      <w:pPr>
        <w:rPr>
          <w:rFonts w:cs="宋体"/>
          <w:b/>
          <w:bCs/>
          <w:i/>
          <w:iCs/>
        </w:rPr>
      </w:pPr>
      <w:r>
        <w:rPr>
          <w:rFonts w:hint="eastAsia" w:cs="宋体"/>
          <w:b/>
          <w:bCs/>
          <w:i/>
          <w:iCs/>
        </w:rPr>
        <w:t>分析：。</w:t>
      </w:r>
    </w:p>
    <w:p>
      <w:pPr>
        <w:pStyle w:val="8"/>
        <w:numPr>
          <w:ilvl w:val="0"/>
          <w:numId w:val="11"/>
        </w:numPr>
        <w:ind w:firstLineChars="0"/>
        <w:outlineLvl w:val="1"/>
        <w:rPr>
          <w:b/>
        </w:rPr>
      </w:pPr>
      <w:r>
        <w:rPr>
          <w:b/>
        </w:rPr>
        <w:t>北美4月重卡销量暴跌近50%</w:t>
      </w:r>
    </w:p>
    <w:p>
      <w:r>
        <w:rPr>
          <w:rFonts w:hint="eastAsia"/>
        </w:rPr>
        <w:t>受新冠病毒影响，货运需求暴跌，从而导致美国</w:t>
      </w:r>
      <w:r>
        <w:t>4月份Class8重卡零售份额下跌47.4%，然而行业观察家预测新车销售量在接下来或将更低。</w:t>
      </w:r>
    </w:p>
    <w:p>
      <w:r>
        <w:rPr>
          <w:rFonts w:hint="eastAsia"/>
        </w:rPr>
        <w:t>根据</w:t>
      </w:r>
      <w:r>
        <w:t>Wards的数据，4月新车销量下降至12637辆，而去年同期为24024辆。这一数字已经逼近2017年2月的最低值11200辆。</w:t>
      </w:r>
    </w:p>
    <w:p>
      <w:r>
        <w:rPr>
          <w:rFonts w:hint="eastAsia"/>
        </w:rPr>
        <w:t>在北美市场，除了最小的卡车制造商西星之外，所有卡车制造商的销量下降幅度都达到或超过了</w:t>
      </w:r>
      <w:r>
        <w:t>39%。</w:t>
      </w:r>
    </w:p>
    <w:p>
      <w:r>
        <w:rPr>
          <w:rFonts w:hint="eastAsia"/>
        </w:rPr>
        <w:t>美国重卡品牌</w:t>
      </w:r>
      <w:r>
        <w:t>Peterbilt跌幅最大，与去年相比暴跌59.6%，单月销量仅1553辆，市场份额为12.3%，而沃尔沃卡车北美公司则创造了第二高的跌幅，下跌56.8%，销量仅951辆，市场份额为7.5%。</w:t>
      </w:r>
    </w:p>
    <w:p>
      <w:pPr>
        <w:rPr>
          <w:rFonts w:cs="宋体"/>
          <w:b/>
          <w:bCs/>
          <w:i/>
          <w:iCs/>
        </w:rPr>
      </w:pPr>
      <w:r>
        <w:rPr>
          <w:rFonts w:hint="eastAsia" w:cs="宋体"/>
          <w:b/>
          <w:bCs/>
          <w:i/>
          <w:iCs/>
        </w:rPr>
        <w:t>分析：。</w:t>
      </w:r>
    </w:p>
    <w:p>
      <w:pPr>
        <w:pStyle w:val="8"/>
        <w:numPr>
          <w:ilvl w:val="0"/>
          <w:numId w:val="11"/>
        </w:numPr>
        <w:ind w:firstLineChars="0"/>
        <w:outlineLvl w:val="1"/>
        <w:rPr>
          <w:b/>
        </w:rPr>
      </w:pPr>
      <w:r>
        <w:rPr>
          <w:b/>
        </w:rPr>
        <w:t>奔驰全球布局9家电池厂</w:t>
      </w:r>
      <w:r>
        <w:rPr>
          <w:rFonts w:hint="eastAsia"/>
          <w:b/>
        </w:rPr>
        <w:t>电动车成主角</w:t>
      </w:r>
    </w:p>
    <w:p>
      <w:r>
        <w:rPr>
          <w:rFonts w:hint="eastAsia"/>
        </w:rPr>
        <w:t>为进一步推进电气化进程，戴姆勒集团在全球</w:t>
      </w:r>
      <w:r>
        <w:t>3大洲7座城市布局9家电池工厂，公司目前已经投资超过10亿欧元发展新能源产业，戴姆勒计划未来每年生产超过50万辆新能源汽车。</w:t>
      </w:r>
    </w:p>
    <w:p>
      <w:pPr>
        <w:rPr>
          <w:rFonts w:cs="宋体"/>
          <w:b/>
          <w:bCs/>
          <w:i/>
          <w:iCs/>
        </w:rPr>
      </w:pPr>
      <w:r>
        <w:rPr>
          <w:rFonts w:hint="eastAsia" w:cs="宋体"/>
          <w:b/>
          <w:bCs/>
          <w:i/>
          <w:iCs/>
        </w:rPr>
        <w:t>分析：。</w:t>
      </w:r>
    </w:p>
    <w:p>
      <w:pPr>
        <w:pStyle w:val="8"/>
        <w:numPr>
          <w:ilvl w:val="0"/>
          <w:numId w:val="11"/>
        </w:numPr>
        <w:ind w:firstLineChars="0"/>
        <w:outlineLvl w:val="1"/>
        <w:rPr>
          <w:b/>
        </w:rPr>
      </w:pPr>
      <w:r>
        <w:rPr>
          <w:b/>
        </w:rPr>
        <w:t>采埃孚并购扩张完毕</w:t>
      </w:r>
      <w:r>
        <w:rPr>
          <w:rFonts w:hint="eastAsia"/>
          <w:b/>
        </w:rPr>
        <w:t>价值</w:t>
      </w:r>
      <w:r>
        <w:rPr>
          <w:b/>
        </w:rPr>
        <w:t>70亿美元</w:t>
      </w:r>
    </w:p>
    <w:p>
      <w:r>
        <w:t>5月29日，德国汽车零部件企业采埃孚正式宣布，已获得所有必要监管机构的批准，成功收购商用车技术供应商威伯科，这场去年初达成的价值70亿美元的合作终于尘埃落定。这也是采埃孚继5年前完成对美国天合汽车集团并购之后的又一次全球性扩张。</w:t>
      </w:r>
    </w:p>
    <w:p>
      <w:r>
        <w:rPr>
          <w:rFonts w:hint="eastAsia"/>
        </w:rPr>
        <w:t>两家企业的整合，让采埃孚实现了乘用车和商用车市场的全面布局。据悉，威伯科将作为商用车控制系统事业部独立运作，成为采埃孚的第</w:t>
      </w:r>
      <w:r>
        <w:t>10个事业部。</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大众德国电动车销售将采用</w:t>
      </w:r>
      <w:bookmarkStart w:id="1" w:name="_Hlk42554901"/>
      <w:r>
        <w:rPr>
          <w:rFonts w:hint="eastAsia"/>
          <w:b/>
        </w:rPr>
        <w:t>经销商代理模式</w:t>
      </w:r>
      <w:bookmarkEnd w:id="1"/>
    </w:p>
    <w:p>
      <w:r>
        <w:rPr>
          <w:rFonts w:hint="eastAsia"/>
        </w:rPr>
        <w:t>大众宣布，对于有意购买其</w:t>
      </w:r>
      <w:r>
        <w:t>ID系列电动汽车的德国消费者，经销商将不再是主要购车渠道。未来，消费者可以直接将订单提交给大众，然后再选择当地的经销商，后者将扮演代理商的角色。经销商将为消费者提供试驾、完成交易以及车辆交付等服务。在这种模式下，车辆的价格将全国统一，经销商可以获得固定的佣金。</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大众与福特进行多方合作</w:t>
      </w:r>
    </w:p>
    <w:p>
      <w:r>
        <w:rPr>
          <w:rFonts w:hint="eastAsia"/>
        </w:rPr>
        <w:t>大众和福特在</w:t>
      </w:r>
      <w:r>
        <w:t>2019年1月建立自动驾驶技术合作关系，双方欲在自动驾驶领域打造一个全球巨头，与Alphabet旗下的Waymo和通用汽车的自动驾驶部门Cruise竞争。</w:t>
      </w:r>
    </w:p>
    <w:p>
      <w:r>
        <w:rPr>
          <w:rFonts w:hint="eastAsia"/>
        </w:rPr>
        <w:t>在自动驾驶领域达成合作后，大众汽车监事会于</w:t>
      </w:r>
      <w:r>
        <w:t>2020年5月28日批准了与福特汽车建立联盟的多个合作项目。</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德国将投</w:t>
      </w:r>
      <w:r>
        <w:rPr>
          <w:b/>
        </w:rPr>
        <w:t>280亿欧振兴车业但购车补贴难产</w:t>
      </w:r>
    </w:p>
    <w:p>
      <w:r>
        <w:rPr>
          <w:rFonts w:hint="eastAsia"/>
        </w:rPr>
        <w:t>德国《汽车周刊》</w:t>
      </w:r>
      <w:r>
        <w:t>5月30日报道，德国政府将在6月2日宣布“投资未来汽车”一揽子计划，投资总额为280亿欧元，振兴德国汽车产业。</w:t>
      </w:r>
    </w:p>
    <w:p>
      <w:r>
        <w:rPr>
          <w:rFonts w:hint="eastAsia"/>
        </w:rPr>
        <w:t>“投资未来汽车”一揽子计划，包括交通基础设施建设、</w:t>
      </w:r>
      <w:r>
        <w:t>5G网络基础设施扩建，而热议的购车补贴不在计划之中。</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德国将要求所有加油站配备充电桩</w:t>
      </w:r>
    </w:p>
    <w:p>
      <w:r>
        <w:t>德国政府要求德国境内所有燃油车的加油站配备电动车充电设备。</w:t>
      </w:r>
      <w:r>
        <w:rPr>
          <w:rFonts w:hint="eastAsia"/>
        </w:rPr>
        <w:t>日前，为了振兴疫后经济，德国政府公布了价值</w:t>
      </w:r>
      <w:r>
        <w:t>1300亿欧元的经济促进计划，其中包括每辆电动车购车补贴6000欧，支持电动车基础建设，以及增值税从19%下调到16%等。</w:t>
      </w:r>
    </w:p>
    <w:p>
      <w:r>
        <w:rPr>
          <w:rFonts w:hint="eastAsia"/>
        </w:rPr>
        <w:t>根据计划，德国将投资改装加油站，保证所有加油站都配备电动车充电设备，保证电动车能在全德国范围内充电。</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雷诺希望恢复与戴姆勒的合作</w:t>
      </w:r>
    </w:p>
    <w:p>
      <w:r>
        <w:rPr>
          <w:rFonts w:hint="eastAsia"/>
        </w:rPr>
        <w:t>雷诺希望为其与戴姆勒的合作注入新的活力，当前戴姆勒正专注于与宝马和吉利合作。</w:t>
      </w:r>
    </w:p>
    <w:p>
      <w:r>
        <w:t>5月29日，雷诺董事长让·多米尼克·塞纳德表示，其和公司临时CEOClothildeDelbos“已经决定在今年年底之前重启与戴姆勒的联盟。”塞纳德表示：“我们从戴姆勒CEO获得了非常积极的反馈，我们正与他的团队进行定期的合作，确定如何让这个特殊的联盟在未来可以持续下去。”</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美国计划深度调整电动车产业链</w:t>
      </w:r>
    </w:p>
    <w:p>
      <w:r>
        <w:rPr>
          <w:rFonts w:hint="eastAsia"/>
        </w:rPr>
        <w:t>面对当下电动车市场现状，美国国内相关各方，包括电动汽车制造商、充电设施供应商、公用事业公司等等都在要求或者已经对电动汽车的基础设施进行调整改进。</w:t>
      </w:r>
    </w:p>
    <w:p>
      <w:r>
        <w:rPr>
          <w:rFonts w:hint="eastAsia"/>
        </w:rPr>
        <w:t>该计划包括：对充电费用予以优化，合力推动电动汽车在美国市场的推广和普及。</w:t>
      </w:r>
    </w:p>
    <w:p>
      <w:r>
        <w:rPr>
          <w:rFonts w:hint="eastAsia"/>
        </w:rPr>
        <w:t>为此，汽车行业在各个专业领域组织的推动下，开展了一项史无前例的调整计划，在疫情爆发之前计划在未来几年至少支出</w:t>
      </w:r>
      <w:r>
        <w:t>1410亿美元重组电动汽车产业链，实现从内燃机到电池驱动引擎的历史性转变。</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欧盟拒绝消减排放目标</w:t>
      </w:r>
      <w:r>
        <w:rPr>
          <w:b/>
        </w:rPr>
        <w:t>称车企差的太远</w:t>
      </w:r>
    </w:p>
    <w:p>
      <w:r>
        <w:t>欧盟表示不会削减二氧化碳排放目标，呼吁车企继续努力减少二氧化碳排放量，否则无法达成今年的减排目标。</w:t>
      </w:r>
    </w:p>
    <w:p>
      <w:r>
        <w:rPr>
          <w:rFonts w:hint="eastAsia"/>
        </w:rPr>
        <w:t xml:space="preserve"> “车企必须大规模降低排放量，才能完成今年严格的排放目标”。根据欧盟环保署数据，欧洲新车</w:t>
      </w:r>
      <w:r>
        <w:t>2019年二氧化碳排放量增长，每公里二氧化碳排放量比2018年增长了2.3克，平均120.8克，明显超过欧盟2020年排放95克的目标。</w:t>
      </w:r>
    </w:p>
    <w:p>
      <w:pPr>
        <w:rPr>
          <w:rFonts w:cs="宋体"/>
          <w:b/>
          <w:bCs/>
          <w:i/>
          <w:iCs/>
        </w:rPr>
      </w:pPr>
      <w:r>
        <w:rPr>
          <w:rFonts w:hint="eastAsia" w:cs="宋体"/>
          <w:b/>
          <w:bCs/>
          <w:i/>
          <w:iCs/>
        </w:rPr>
        <w:t>分析：。</w:t>
      </w:r>
    </w:p>
    <w:p>
      <w:pPr>
        <w:pStyle w:val="8"/>
        <w:numPr>
          <w:ilvl w:val="0"/>
          <w:numId w:val="11"/>
        </w:numPr>
        <w:ind w:firstLineChars="0"/>
        <w:outlineLvl w:val="1"/>
        <w:rPr>
          <w:b/>
        </w:rPr>
      </w:pPr>
      <w:r>
        <w:rPr>
          <w:rFonts w:hint="eastAsia"/>
          <w:b/>
        </w:rPr>
        <w:t>特斯拉有望在英国和墨西哥建超级工厂</w:t>
      </w:r>
    </w:p>
    <w:p>
      <w:r>
        <w:rPr>
          <w:rFonts w:hint="eastAsia"/>
        </w:rPr>
        <w:t>特斯拉有可能将在英国和墨西哥建设超级工厂。目前英国正有意吸引特斯拉超级工厂的落户，并且已经开始寻找一块</w:t>
      </w:r>
      <w:r>
        <w:t>400万平方英尺的场地，作为特斯拉新的生产基地。这个寻址工作由英国国际贸易部（dit）牵头，该地块将足够特斯拉在这里建设研发设施和生产厂房。</w:t>
      </w:r>
    </w:p>
    <w:p>
      <w:r>
        <w:rPr>
          <w:rFonts w:hint="eastAsia"/>
        </w:rPr>
        <w:t>英国国际贸易部发言人日前表示，英国政府政府正在与汽车行业合作，使英国成为开发世界级电动汽车技术的潜首选地点。并且正在与伙伴密切合作，为英国电动汽车研究、开发和制造领域的新投资选址。</w:t>
      </w:r>
    </w:p>
    <w:p>
      <w:pPr>
        <w:rPr>
          <w:rFonts w:cs="宋体"/>
          <w:b/>
          <w:bCs/>
          <w:i/>
          <w:iCs/>
        </w:rPr>
      </w:pPr>
      <w:r>
        <w:rPr>
          <w:rFonts w:hint="eastAsia" w:cs="宋体"/>
          <w:b/>
          <w:bCs/>
          <w:i/>
          <w:iCs/>
        </w:rPr>
        <w:t>分析：。</w:t>
      </w:r>
    </w:p>
    <w:p>
      <w:pPr>
        <w:pStyle w:val="8"/>
        <w:numPr>
          <w:ilvl w:val="0"/>
          <w:numId w:val="11"/>
        </w:numPr>
        <w:ind w:firstLineChars="0"/>
        <w:outlineLvl w:val="1"/>
        <w:rPr>
          <w:b/>
        </w:rPr>
      </w:pPr>
      <w:r>
        <w:rPr>
          <w:b/>
        </w:rPr>
        <w:t>通用6月底恢复北美工厂产能</w:t>
      </w:r>
      <w:r>
        <w:rPr>
          <w:rFonts w:hint="eastAsia"/>
          <w:b/>
        </w:rPr>
        <w:t>积极复工复产</w:t>
      </w:r>
    </w:p>
    <w:p>
      <w:r>
        <w:rPr>
          <w:rFonts w:hint="eastAsia"/>
        </w:rPr>
        <w:t>从通用汽车官方获悉，在保证员工安全的情况下，通用汽车的北美工厂积极完成复工复产，并计划</w:t>
      </w:r>
      <w:r>
        <w:t>6月底产能恢复正常。</w:t>
      </w:r>
    </w:p>
    <w:p>
      <w:pPr>
        <w:rPr>
          <w:rFonts w:cs="宋体"/>
          <w:b/>
          <w:bCs/>
          <w:i/>
          <w:iCs/>
        </w:rPr>
      </w:pPr>
      <w:r>
        <w:rPr>
          <w:rFonts w:hint="eastAsia" w:cs="宋体"/>
          <w:b/>
          <w:bCs/>
          <w:i/>
          <w:iCs/>
        </w:rPr>
        <w:t>分析：。</w:t>
      </w:r>
    </w:p>
    <w:sectPr>
      <w:headerReference r:id="rId3" w:type="default"/>
      <w:pgSz w:w="11906" w:h="16838"/>
      <w:pgMar w:top="1440" w:right="1800" w:bottom="1440" w:left="1800" w:header="56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r>
      <w:drawing>
        <wp:inline distT="0" distB="0" distL="0" distR="0">
          <wp:extent cx="895350" cy="292100"/>
          <wp:effectExtent l="0" t="0" r="0" b="0"/>
          <wp:docPr id="6" name="图片 6"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92B92"/>
    <w:multiLevelType w:val="multilevel"/>
    <w:tmpl w:val="11B92B92"/>
    <w:lvl w:ilvl="0" w:tentative="0">
      <w:start w:val="1"/>
      <w:numFmt w:val="chineseCountingThousand"/>
      <w:lvlText w:val="%1、"/>
      <w:lvlJc w:val="left"/>
      <w:pPr>
        <w:ind w:left="225" w:hanging="225"/>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3B003BF"/>
    <w:multiLevelType w:val="multilevel"/>
    <w:tmpl w:val="13B003BF"/>
    <w:lvl w:ilvl="0" w:tentative="0">
      <w:start w:val="4"/>
      <w:numFmt w:val="japaneseCounting"/>
      <w:lvlText w:val="%1、"/>
      <w:lvlJc w:val="left"/>
      <w:pPr>
        <w:ind w:left="435" w:hanging="43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5A45500"/>
    <w:multiLevelType w:val="multilevel"/>
    <w:tmpl w:val="45A455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1D4C9C"/>
    <w:multiLevelType w:val="multilevel"/>
    <w:tmpl w:val="481D4C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A282915"/>
    <w:multiLevelType w:val="multilevel"/>
    <w:tmpl w:val="4A28291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C84383C"/>
    <w:multiLevelType w:val="singleLevel"/>
    <w:tmpl w:val="4C84383C"/>
    <w:lvl w:ilvl="0" w:tentative="0">
      <w:start w:val="1"/>
      <w:numFmt w:val="decimal"/>
      <w:lvlText w:val="%1."/>
      <w:lvlJc w:val="left"/>
      <w:pPr>
        <w:tabs>
          <w:tab w:val="left" w:pos="425"/>
        </w:tabs>
        <w:ind w:left="425" w:hanging="425"/>
      </w:pPr>
      <w:rPr>
        <w:rFonts w:hint="default"/>
      </w:rPr>
    </w:lvl>
  </w:abstractNum>
  <w:abstractNum w:abstractNumId="6">
    <w:nsid w:val="5794E7AB"/>
    <w:multiLevelType w:val="singleLevel"/>
    <w:tmpl w:val="5794E7AB"/>
    <w:lvl w:ilvl="0" w:tentative="0">
      <w:start w:val="1"/>
      <w:numFmt w:val="decimal"/>
      <w:lvlText w:val="%1."/>
      <w:lvlJc w:val="left"/>
      <w:pPr>
        <w:ind w:left="420" w:hanging="420"/>
      </w:pPr>
      <w:rPr>
        <w:rFonts w:hint="default"/>
      </w:rPr>
    </w:lvl>
  </w:abstractNum>
  <w:abstractNum w:abstractNumId="7">
    <w:nsid w:val="5F410542"/>
    <w:multiLevelType w:val="multilevel"/>
    <w:tmpl w:val="5F410542"/>
    <w:lvl w:ilvl="0" w:tentative="0">
      <w:start w:val="5"/>
      <w:numFmt w:val="japaneseCounting"/>
      <w:lvlText w:val="%1、"/>
      <w:lvlJc w:val="left"/>
      <w:pPr>
        <w:ind w:left="450" w:hanging="45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FF05021"/>
    <w:multiLevelType w:val="multilevel"/>
    <w:tmpl w:val="5FF0502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7250561"/>
    <w:multiLevelType w:val="multilevel"/>
    <w:tmpl w:val="7725056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89D6E71"/>
    <w:multiLevelType w:val="multilevel"/>
    <w:tmpl w:val="789D6E71"/>
    <w:lvl w:ilvl="0" w:tentative="0">
      <w:start w:val="3"/>
      <w:numFmt w:val="japaneseCounting"/>
      <w:lvlText w:val="%1、"/>
      <w:lvlJc w:val="left"/>
      <w:pPr>
        <w:ind w:left="420" w:hanging="42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6"/>
  </w:num>
  <w:num w:numId="3">
    <w:abstractNumId w:val="2"/>
  </w:num>
  <w:num w:numId="4">
    <w:abstractNumId w:val="10"/>
  </w:num>
  <w:num w:numId="5">
    <w:abstractNumId w:val="9"/>
  </w:num>
  <w:num w:numId="6">
    <w:abstractNumId w:val="1"/>
  </w:num>
  <w:num w:numId="7">
    <w:abstractNumId w:val="4"/>
  </w:num>
  <w:num w:numId="8">
    <w:abstractNumId w:val="7"/>
  </w:num>
  <w:num w:numId="9">
    <w:abstractNumId w:val="5"/>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4B9"/>
    <w:rsid w:val="0007690F"/>
    <w:rsid w:val="000F5019"/>
    <w:rsid w:val="00182940"/>
    <w:rsid w:val="001E7AE9"/>
    <w:rsid w:val="00200174"/>
    <w:rsid w:val="0022169E"/>
    <w:rsid w:val="0025495C"/>
    <w:rsid w:val="00330922"/>
    <w:rsid w:val="003764D0"/>
    <w:rsid w:val="00381E52"/>
    <w:rsid w:val="00384682"/>
    <w:rsid w:val="003848B3"/>
    <w:rsid w:val="003A56BB"/>
    <w:rsid w:val="00457A42"/>
    <w:rsid w:val="004A16D9"/>
    <w:rsid w:val="00502C7A"/>
    <w:rsid w:val="00533FB6"/>
    <w:rsid w:val="00557B38"/>
    <w:rsid w:val="00571572"/>
    <w:rsid w:val="005818F7"/>
    <w:rsid w:val="00593216"/>
    <w:rsid w:val="00595D28"/>
    <w:rsid w:val="005B64FC"/>
    <w:rsid w:val="006273CB"/>
    <w:rsid w:val="006B791C"/>
    <w:rsid w:val="007660D4"/>
    <w:rsid w:val="007F7BC2"/>
    <w:rsid w:val="00811240"/>
    <w:rsid w:val="008178F2"/>
    <w:rsid w:val="00876C68"/>
    <w:rsid w:val="009001CC"/>
    <w:rsid w:val="00963209"/>
    <w:rsid w:val="009C42BC"/>
    <w:rsid w:val="00A000A4"/>
    <w:rsid w:val="00A027EC"/>
    <w:rsid w:val="00A132DD"/>
    <w:rsid w:val="00AB245C"/>
    <w:rsid w:val="00AF5991"/>
    <w:rsid w:val="00B3034C"/>
    <w:rsid w:val="00B37F79"/>
    <w:rsid w:val="00BC1979"/>
    <w:rsid w:val="00C7509A"/>
    <w:rsid w:val="00C820A8"/>
    <w:rsid w:val="00CE3018"/>
    <w:rsid w:val="00D17F9D"/>
    <w:rsid w:val="00D43BC3"/>
    <w:rsid w:val="00D4439D"/>
    <w:rsid w:val="00D449DA"/>
    <w:rsid w:val="00D77736"/>
    <w:rsid w:val="00DD3584"/>
    <w:rsid w:val="00DE29EC"/>
    <w:rsid w:val="00E517F2"/>
    <w:rsid w:val="00E662A5"/>
    <w:rsid w:val="00F024B9"/>
    <w:rsid w:val="59553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563C1" w:themeColor="hyperlink"/>
      <w:u w:val="single"/>
      <w14:textFill>
        <w14:solidFill>
          <w14:schemeClr w14:val="hlink"/>
        </w14:solidFill>
      </w14:textFill>
    </w:rPr>
  </w:style>
  <w:style w:type="paragraph" w:customStyle="1" w:styleId="7">
    <w:name w:val="列出段落1"/>
    <w:basedOn w:val="1"/>
    <w:qFormat/>
    <w:uiPriority w:val="99"/>
    <w:pPr>
      <w:ind w:firstLine="420" w:firstLineChars="200"/>
    </w:pPr>
  </w:style>
  <w:style w:type="paragraph" w:styleId="8">
    <w:name w:val="List Paragraph"/>
    <w:basedOn w:val="1"/>
    <w:qFormat/>
    <w:uiPriority w:val="34"/>
    <w:pPr>
      <w:ind w:firstLine="420" w:firstLineChars="200"/>
    </w:pPr>
  </w:style>
  <w:style w:type="character" w:customStyle="1" w:styleId="9">
    <w:name w:val="页眉 字符"/>
    <w:basedOn w:val="5"/>
    <w:link w:val="3"/>
    <w:uiPriority w:val="99"/>
    <w:rPr>
      <w:sz w:val="18"/>
      <w:szCs w:val="18"/>
    </w:rPr>
  </w:style>
  <w:style w:type="character" w:customStyle="1" w:styleId="10">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2053</Words>
  <Characters>11704</Characters>
  <Lines>97</Lines>
  <Paragraphs>27</Paragraphs>
  <TotalTime>269</TotalTime>
  <ScaleCrop>false</ScaleCrop>
  <LinksUpToDate>false</LinksUpToDate>
  <CharactersWithSpaces>13730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2020-06-07T03:05:00Z</dcterms:created>
  <dc:creator>cuidongshu11@outlook.com</dc:creator>
  <cp:lastModifiedBy>亮亮</cp:lastModifiedBy>
  <dcterms:modified xsi:type="dcterms:W3CDTF">2020-06-11T02:18:49Z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