
<file path=[Content_Types].xml><?xml version="1.0" encoding="utf-8"?>
<Types xmlns="http://schemas.openxmlformats.org/package/2006/content-types">
  <Default Extension="xml" ContentType="application/xml"/>
  <Default Extension="wmf" ContentType="image/x-wmf"/>
  <Default Extension="png" ContentType="image/png"/>
  <Default Extension="jpeg" ContentType="image/jpe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5" Type="http://schemas.openxmlformats.org/officeDocument/2006/relationships/officeDocument" Target="word/document.xml"/><Relationship Id="rId1" Type="http://schemas.openxmlformats.org/package/2006/relationships/metadata/thumbnail" Target="docProps/thumbnail.wmf"/><Relationship Id="rId3" Type="http://schemas.openxmlformats.org/package/2006/relationships/metadata/core-properties" Target="docProps/core.xml"/><Relationship Id="rId2"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jc w:val="center"/>
        <w:outlineLvl w:val="0"/>
        <w:rPr>
          <w:rFonts w:ascii="黑体" w:eastAsia="黑体" w:cs="黑体"/>
          <w:sz w:val="24"/>
        </w:rPr>
      </w:pPr>
      <w:bookmarkStart w:id="0" w:name="_Toc308180609"/>
      <w:r>
        <w:rPr>
          <w:rFonts w:hint="eastAsia" w:ascii="黑体" w:eastAsia="黑体" w:cs="黑体"/>
          <w:sz w:val="24"/>
        </w:rPr>
        <w:t>车市扫描</w:t>
      </w:r>
      <w:r>
        <w:rPr>
          <w:rFonts w:ascii="黑体" w:eastAsia="黑体" w:cs="黑体"/>
          <w:sz w:val="24"/>
        </w:rPr>
        <w:t>-2020</w:t>
      </w:r>
      <w:r>
        <w:rPr>
          <w:rFonts w:hint="eastAsia" w:ascii="黑体" w:eastAsia="黑体" w:cs="黑体"/>
          <w:sz w:val="24"/>
        </w:rPr>
        <w:t>年</w:t>
      </w:r>
      <w:r>
        <w:rPr>
          <w:rFonts w:ascii="黑体" w:eastAsia="黑体" w:cs="黑体"/>
          <w:sz w:val="24"/>
        </w:rPr>
        <w:t>33</w:t>
      </w:r>
      <w:r>
        <w:rPr>
          <w:rFonts w:hint="eastAsia" w:ascii="黑体" w:eastAsia="黑体" w:cs="黑体"/>
          <w:sz w:val="24"/>
        </w:rPr>
        <w:t>期（</w:t>
      </w:r>
      <w:r>
        <w:rPr>
          <w:rFonts w:ascii="黑体" w:eastAsia="黑体" w:cs="黑体"/>
          <w:sz w:val="24"/>
        </w:rPr>
        <w:t>8</w:t>
      </w:r>
      <w:r>
        <w:rPr>
          <w:rFonts w:hint="eastAsia" w:ascii="黑体" w:eastAsia="黑体" w:cs="黑体"/>
          <w:sz w:val="24"/>
        </w:rPr>
        <w:t>月</w:t>
      </w:r>
      <w:r>
        <w:rPr>
          <w:rFonts w:ascii="黑体" w:eastAsia="黑体" w:cs="黑体"/>
          <w:sz w:val="24"/>
        </w:rPr>
        <w:t>10</w:t>
      </w:r>
      <w:r>
        <w:rPr>
          <w:rFonts w:hint="eastAsia" w:ascii="黑体" w:eastAsia="黑体" w:cs="黑体"/>
          <w:sz w:val="24"/>
        </w:rPr>
        <w:t>日</w:t>
      </w:r>
      <w:r>
        <w:rPr>
          <w:rFonts w:ascii="黑体" w:eastAsia="黑体" w:cs="黑体"/>
          <w:sz w:val="24"/>
        </w:rPr>
        <w:t>-8</w:t>
      </w:r>
      <w:r>
        <w:rPr>
          <w:rFonts w:hint="eastAsia" w:ascii="黑体" w:eastAsia="黑体" w:cs="黑体"/>
          <w:sz w:val="24"/>
        </w:rPr>
        <w:t>月</w:t>
      </w:r>
      <w:r>
        <w:rPr>
          <w:rFonts w:ascii="黑体" w:eastAsia="黑体" w:cs="黑体"/>
          <w:sz w:val="24"/>
        </w:rPr>
        <w:t>16</w:t>
      </w:r>
      <w:r>
        <w:rPr>
          <w:rFonts w:hint="eastAsia" w:ascii="黑体" w:eastAsia="黑体" w:cs="黑体"/>
          <w:sz w:val="24"/>
        </w:rPr>
        <w:t>日）</w:t>
      </w:r>
      <w:bookmarkEnd w:id="0"/>
    </w:p>
    <w:p>
      <w:pPr>
        <w:jc w:val="center"/>
        <w:outlineLvl w:val="0"/>
        <w:rPr>
          <w:rFonts w:ascii="黑体" w:eastAsia="黑体" w:cs="Times New Roman"/>
          <w:sz w:val="24"/>
        </w:rPr>
      </w:pPr>
    </w:p>
    <w:p>
      <w:pPr>
        <w:rPr>
          <w:rFonts w:ascii="黑体" w:eastAsia="黑体" w:cs="黑体"/>
        </w:rPr>
      </w:pPr>
      <w:r>
        <w:rPr>
          <w:rFonts w:hint="eastAsia" w:ascii="黑体" w:eastAsia="黑体" w:cs="黑体"/>
        </w:rPr>
        <w:t>主要信息源自乘联会每日新闻等</w:t>
      </w:r>
    </w:p>
    <w:p>
      <w:pPr>
        <w:rPr>
          <w:rFonts w:ascii="黑体" w:eastAsia="黑体" w:cs="黑体"/>
        </w:rPr>
      </w:pPr>
      <w:r>
        <w:rPr>
          <w:rFonts w:hint="eastAsia" w:ascii="黑体" w:eastAsia="黑体" w:cs="黑体"/>
        </w:rPr>
        <w:t>中国汽车流通协会汽车市场研究分会</w:t>
      </w:r>
    </w:p>
    <w:p>
      <w:pPr>
        <w:rPr>
          <w:rFonts w:ascii="黑体" w:eastAsia="黑体" w:cs="黑体"/>
        </w:rPr>
      </w:pPr>
      <w:r>
        <w:rPr>
          <w:rFonts w:hint="eastAsia" w:ascii="黑体" w:eastAsia="黑体" w:cs="黑体"/>
        </w:rPr>
        <w:t>乘用车市场信息联席会（乘联会）</w:t>
      </w:r>
      <w:bookmarkStart w:id="1" w:name="_GoBack"/>
      <w:bookmarkEnd w:id="1"/>
    </w:p>
    <w:p>
      <w:pPr>
        <w:rPr>
          <w:rFonts w:ascii="黑体" w:eastAsia="黑体" w:cs="黑体"/>
        </w:rPr>
      </w:pPr>
      <w:r>
        <w:rPr>
          <w:rFonts w:hint="eastAsia" w:ascii="黑体" w:eastAsia="黑体" w:cs="黑体"/>
        </w:rPr>
        <w:t>网站：</w:t>
      </w:r>
      <w:r>
        <w:fldChar w:fldCharType="begin"/>
      </w:r>
      <w:r>
        <w:instrText xml:space="preserve"> HYPERLINK "http://www.cpcaauto.com" </w:instrText>
      </w:r>
      <w:r>
        <w:fldChar w:fldCharType="separate"/>
      </w:r>
      <w:r>
        <w:rPr>
          <w:rStyle w:val="11"/>
          <w:rFonts w:ascii="黑体" w:eastAsia="黑体" w:cs="黑体"/>
        </w:rPr>
        <w:t>http://www.cpcaauto.com</w:t>
      </w:r>
      <w:r>
        <w:rPr>
          <w:rStyle w:val="11"/>
          <w:rFonts w:ascii="黑体" w:eastAsia="黑体" w:cs="黑体"/>
        </w:rPr>
        <w:fldChar w:fldCharType="end"/>
      </w:r>
    </w:p>
    <w:p>
      <w:pPr>
        <w:rPr>
          <w:rFonts w:cs="Times New Roman"/>
        </w:rPr>
      </w:pPr>
    </w:p>
    <w:p>
      <w:pPr>
        <w:pStyle w:val="16"/>
        <w:numPr>
          <w:ilvl w:val="0"/>
          <w:numId w:val="1"/>
        </w:numPr>
        <w:ind w:left="284" w:firstLineChars="0"/>
        <w:outlineLvl w:val="0"/>
        <w:rPr>
          <w:rFonts w:ascii="宋体" w:cs="Times New Roman"/>
          <w:b/>
          <w:bCs/>
        </w:rPr>
      </w:pPr>
      <w:r>
        <w:rPr>
          <w:rFonts w:hint="eastAsia" w:cs="宋体"/>
          <w:b/>
          <w:bCs/>
        </w:rPr>
        <w:t>本周车市概述：</w:t>
      </w:r>
    </w:p>
    <w:p>
      <w:pPr>
        <w:numPr>
          <w:ilvl w:val="0"/>
          <w:numId w:val="2"/>
        </w:numPr>
        <w:jc w:val="left"/>
        <w:outlineLvl w:val="1"/>
        <w:rPr>
          <w:rFonts w:ascii="黑体" w:hAnsi="黑体" w:eastAsia="黑体" w:cs="Times New Roman"/>
          <w:b/>
          <w:bCs/>
          <w:sz w:val="24"/>
        </w:rPr>
      </w:pPr>
      <w:r>
        <w:rPr>
          <w:rFonts w:hint="eastAsia" w:ascii="黑体" w:hAnsi="黑体" w:eastAsia="黑体" w:cs="Times New Roman"/>
          <w:b/>
          <w:bCs/>
          <w:sz w:val="24"/>
        </w:rPr>
        <w:t>8月乘用车市场周度零售平稳走强</w:t>
      </w:r>
    </w:p>
    <w:p>
      <w:pPr>
        <w:jc w:val="center"/>
        <w:rPr>
          <w:rFonts w:ascii="Calibri" w:hAnsi="Calibri" w:eastAsia="宋体" w:cs="Times New Roman"/>
          <w:szCs w:val="21"/>
        </w:rPr>
      </w:pPr>
      <w:r>
        <w:rPr>
          <w:rFonts w:hint="eastAsia" w:ascii="Calibri" w:hAnsi="Calibri" w:eastAsia="宋体" w:cs="Times New Roman"/>
          <w:szCs w:val="21"/>
        </w:rPr>
        <w:drawing>
          <wp:inline distT="0" distB="0" distL="0" distR="0">
            <wp:extent cx="4679950" cy="3660140"/>
            <wp:effectExtent l="0" t="0" r="6350" b="1651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5">
                      <a:extLst>
                        <a:ext uri="{28A0092B-C50C-407E-A947-70E740481C1C}">
                          <a14:useLocalDpi xmlns:a14="http://schemas.microsoft.com/office/drawing/2010/main" val="0"/>
                        </a:ext>
                      </a:extLst>
                    </a:blip>
                    <a:stretch>
                      <a:fillRect/>
                    </a:stretch>
                  </pic:blipFill>
                  <pic:spPr>
                    <a:xfrm>
                      <a:off x="0" y="0"/>
                      <a:ext cx="4680000" cy="3660750"/>
                    </a:xfrm>
                    <a:prstGeom prst="rect">
                      <a:avLst/>
                    </a:prstGeom>
                  </pic:spPr>
                </pic:pic>
              </a:graphicData>
            </a:graphic>
          </wp:inline>
        </w:drawing>
      </w:r>
    </w:p>
    <w:p>
      <w:pPr>
        <w:ind w:firstLine="283" w:firstLineChars="135"/>
        <w:rPr>
          <w:rFonts w:ascii="Calibri" w:hAnsi="Calibri" w:eastAsia="宋体" w:cs="Times New Roman"/>
          <w:szCs w:val="21"/>
        </w:rPr>
      </w:pPr>
      <w:r>
        <w:rPr>
          <w:rFonts w:ascii="Calibri" w:hAnsi="Calibri" w:eastAsia="宋体" w:cs="Times New Roman"/>
          <w:szCs w:val="21"/>
        </w:rPr>
        <w:t>8</w:t>
      </w:r>
      <w:r>
        <w:rPr>
          <w:rFonts w:hint="eastAsia" w:ascii="Calibri" w:hAnsi="Calibri" w:eastAsia="宋体" w:cs="Times New Roman"/>
          <w:szCs w:val="21"/>
        </w:rPr>
        <w:t>月第一周的日均零售是</w:t>
      </w:r>
      <w:r>
        <w:rPr>
          <w:rFonts w:ascii="Calibri" w:hAnsi="Calibri" w:eastAsia="宋体" w:cs="Times New Roman"/>
          <w:szCs w:val="21"/>
        </w:rPr>
        <w:t>3</w:t>
      </w:r>
      <w:r>
        <w:rPr>
          <w:rFonts w:hint="eastAsia" w:ascii="Calibri" w:hAnsi="Calibri" w:eastAsia="宋体" w:cs="Times New Roman"/>
          <w:szCs w:val="21"/>
        </w:rPr>
        <w:t>.</w:t>
      </w:r>
      <w:r>
        <w:rPr>
          <w:rFonts w:ascii="Calibri" w:hAnsi="Calibri" w:eastAsia="宋体" w:cs="Times New Roman"/>
          <w:szCs w:val="21"/>
        </w:rPr>
        <w:t>0</w:t>
      </w:r>
      <w:r>
        <w:rPr>
          <w:rFonts w:hint="eastAsia" w:ascii="Calibri" w:hAnsi="Calibri" w:eastAsia="宋体" w:cs="Times New Roman"/>
          <w:szCs w:val="21"/>
        </w:rPr>
        <w:t>万辆，同比增长3%，环比</w:t>
      </w:r>
      <w:r>
        <w:rPr>
          <w:rFonts w:ascii="Calibri" w:hAnsi="Calibri" w:eastAsia="宋体" w:cs="Times New Roman"/>
          <w:szCs w:val="21"/>
        </w:rPr>
        <w:t>7</w:t>
      </w:r>
      <w:r>
        <w:rPr>
          <w:rFonts w:hint="eastAsia" w:ascii="Calibri" w:hAnsi="Calibri" w:eastAsia="宋体" w:cs="Times New Roman"/>
          <w:szCs w:val="21"/>
        </w:rPr>
        <w:t>月第一周增长8%。第一周的零售表现平稳。</w:t>
      </w:r>
    </w:p>
    <w:p>
      <w:pPr>
        <w:ind w:firstLine="283" w:firstLineChars="135"/>
        <w:rPr>
          <w:rFonts w:ascii="Calibri" w:hAnsi="Calibri" w:eastAsia="宋体" w:cs="Times New Roman"/>
          <w:szCs w:val="21"/>
        </w:rPr>
      </w:pPr>
      <w:r>
        <w:rPr>
          <w:rFonts w:ascii="Calibri" w:hAnsi="Calibri" w:eastAsia="宋体" w:cs="Times New Roman"/>
          <w:szCs w:val="21"/>
        </w:rPr>
        <w:t>8</w:t>
      </w:r>
      <w:r>
        <w:rPr>
          <w:rFonts w:hint="eastAsia" w:ascii="Calibri" w:hAnsi="Calibri" w:eastAsia="宋体" w:cs="Times New Roman"/>
          <w:szCs w:val="21"/>
        </w:rPr>
        <w:t>月第二周的日均零售是</w:t>
      </w:r>
      <w:r>
        <w:rPr>
          <w:rFonts w:ascii="Calibri" w:hAnsi="Calibri" w:eastAsia="宋体" w:cs="Times New Roman"/>
          <w:szCs w:val="21"/>
        </w:rPr>
        <w:t>3.9</w:t>
      </w:r>
      <w:r>
        <w:rPr>
          <w:rFonts w:hint="eastAsia" w:ascii="Calibri" w:hAnsi="Calibri" w:eastAsia="宋体" w:cs="Times New Roman"/>
          <w:szCs w:val="21"/>
        </w:rPr>
        <w:t>万辆，同比增长</w:t>
      </w:r>
      <w:r>
        <w:rPr>
          <w:rFonts w:ascii="Calibri" w:hAnsi="Calibri" w:eastAsia="宋体" w:cs="Times New Roman"/>
          <w:szCs w:val="21"/>
        </w:rPr>
        <w:t>9</w:t>
      </w:r>
      <w:r>
        <w:rPr>
          <w:rFonts w:hint="eastAsia" w:ascii="Calibri" w:hAnsi="Calibri" w:eastAsia="宋体" w:cs="Times New Roman"/>
          <w:szCs w:val="21"/>
        </w:rPr>
        <w:t>%，环比</w:t>
      </w:r>
      <w:r>
        <w:rPr>
          <w:rFonts w:ascii="Calibri" w:hAnsi="Calibri" w:eastAsia="宋体" w:cs="Times New Roman"/>
          <w:szCs w:val="21"/>
        </w:rPr>
        <w:t>7</w:t>
      </w:r>
      <w:r>
        <w:rPr>
          <w:rFonts w:hint="eastAsia" w:ascii="Calibri" w:hAnsi="Calibri" w:eastAsia="宋体" w:cs="Times New Roman"/>
          <w:szCs w:val="21"/>
        </w:rPr>
        <w:t>月第二周下降2%。第二周的零售表现平稳。</w:t>
      </w:r>
    </w:p>
    <w:p>
      <w:pPr>
        <w:ind w:firstLine="283" w:firstLineChars="135"/>
        <w:rPr>
          <w:rFonts w:ascii="Calibri" w:hAnsi="Calibri" w:eastAsia="宋体" w:cs="Times New Roman"/>
          <w:szCs w:val="21"/>
        </w:rPr>
      </w:pPr>
      <w:r>
        <w:rPr>
          <w:rFonts w:ascii="Calibri" w:hAnsi="Calibri" w:eastAsia="宋体" w:cs="Times New Roman"/>
          <w:szCs w:val="21"/>
        </w:rPr>
        <w:t>8</w:t>
      </w:r>
      <w:r>
        <w:rPr>
          <w:rFonts w:hint="eastAsia" w:ascii="Calibri" w:hAnsi="Calibri" w:eastAsia="宋体" w:cs="Times New Roman"/>
          <w:szCs w:val="21"/>
        </w:rPr>
        <w:t>月初的消费环境相对平稳，今年8月前两周厂家休假多，同比零售数据走势平稳也是很好的成绩。</w:t>
      </w:r>
    </w:p>
    <w:p>
      <w:pPr>
        <w:ind w:firstLine="424" w:firstLineChars="202"/>
        <w:rPr>
          <w:rFonts w:ascii="Calibri" w:hAnsi="Calibri" w:eastAsia="宋体" w:cs="Times New Roman"/>
          <w:szCs w:val="21"/>
        </w:rPr>
      </w:pPr>
      <w:r>
        <w:rPr>
          <w:rFonts w:hint="eastAsia" w:ascii="Calibri" w:hAnsi="Calibri" w:eastAsia="宋体" w:cs="Times New Roman"/>
          <w:szCs w:val="21"/>
        </w:rPr>
        <w:t>目前国民经济继续稳定恢复，工业生产平稳增长，服务业加快恢复，市场零售逐步回暖，消费信心继续恢复，有利于汽车等大宗可选消费的继续恢复。</w:t>
      </w:r>
    </w:p>
    <w:p>
      <w:pPr>
        <w:ind w:firstLine="424" w:firstLineChars="202"/>
        <w:rPr>
          <w:rFonts w:ascii="Calibri" w:hAnsi="Calibri" w:eastAsia="宋体" w:cs="Times New Roman"/>
          <w:szCs w:val="21"/>
        </w:rPr>
      </w:pPr>
      <w:r>
        <w:rPr>
          <w:rFonts w:hint="eastAsia" w:ascii="Calibri" w:hAnsi="Calibri" w:eastAsia="宋体" w:cs="Times New Roman"/>
          <w:szCs w:val="21"/>
        </w:rPr>
        <w:t>随着成都车展各品牌收获大量意向订单，在</w:t>
      </w:r>
      <w:r>
        <w:rPr>
          <w:rFonts w:ascii="Calibri" w:hAnsi="Calibri" w:eastAsia="宋体" w:cs="Times New Roman"/>
          <w:szCs w:val="21"/>
        </w:rPr>
        <w:t>8月进行到店交付，</w:t>
      </w:r>
      <w:r>
        <w:rPr>
          <w:rFonts w:hint="eastAsia" w:ascii="Calibri" w:hAnsi="Calibri" w:eastAsia="宋体" w:cs="Times New Roman"/>
          <w:szCs w:val="21"/>
        </w:rPr>
        <w:t>这也提早推动了秋季的营销工作</w:t>
      </w:r>
      <w:r>
        <w:rPr>
          <w:rFonts w:ascii="Calibri" w:hAnsi="Calibri" w:eastAsia="宋体" w:cs="Times New Roman"/>
          <w:szCs w:val="21"/>
        </w:rPr>
        <w:t>，同时对车展上所推的新品做新品传播也将推动8月车市走强。8月高温假和雨季，对车市销售形成一定阻力；</w:t>
      </w:r>
      <w:r>
        <w:rPr>
          <w:rFonts w:hint="eastAsia" w:ascii="Calibri" w:hAnsi="Calibri" w:eastAsia="宋体" w:cs="Times New Roman"/>
          <w:szCs w:val="21"/>
        </w:rPr>
        <w:t>但越是恶劣天气和疫情影响，私车出行的必要性</w:t>
      </w:r>
      <w:r>
        <w:rPr>
          <w:rFonts w:hint="eastAsia" w:ascii="Calibri" w:hAnsi="Calibri" w:eastAsia="宋体" w:cs="Times New Roman"/>
          <w:szCs w:val="21"/>
          <w:lang w:eastAsia="zh-CN"/>
        </w:rPr>
        <w:t>越</w:t>
      </w:r>
      <w:r>
        <w:rPr>
          <w:rFonts w:hint="eastAsia" w:ascii="Calibri" w:hAnsi="Calibri" w:eastAsia="宋体" w:cs="Times New Roman"/>
          <w:szCs w:val="21"/>
        </w:rPr>
        <w:t>是凸显，因此8月异常天气</w:t>
      </w:r>
      <w:r>
        <w:rPr>
          <w:rFonts w:hint="eastAsia" w:ascii="Calibri" w:hAnsi="Calibri" w:eastAsia="宋体" w:cs="Times New Roman"/>
          <w:szCs w:val="21"/>
          <w:lang w:eastAsia="zh-CN"/>
        </w:rPr>
        <w:t>之</w:t>
      </w:r>
      <w:r>
        <w:rPr>
          <w:rFonts w:hint="eastAsia" w:ascii="Calibri" w:hAnsi="Calibri" w:eastAsia="宋体" w:cs="Times New Roman"/>
          <w:szCs w:val="21"/>
        </w:rPr>
        <w:t>后的部分区域市场还是会</w:t>
      </w:r>
      <w:r>
        <w:rPr>
          <w:rFonts w:hint="eastAsia" w:ascii="Calibri" w:hAnsi="Calibri" w:eastAsia="宋体" w:cs="Times New Roman"/>
          <w:szCs w:val="21"/>
          <w:lang w:eastAsia="zh-CN"/>
        </w:rPr>
        <w:t>表现</w:t>
      </w:r>
      <w:r>
        <w:rPr>
          <w:rFonts w:hint="eastAsia" w:ascii="Calibri" w:hAnsi="Calibri" w:eastAsia="宋体" w:cs="Times New Roman"/>
          <w:szCs w:val="21"/>
        </w:rPr>
        <w:t>很强的。我们对8月车市销量增速持乐观</w:t>
      </w:r>
      <w:r>
        <w:rPr>
          <w:rFonts w:hint="eastAsia" w:ascii="Calibri" w:hAnsi="Calibri" w:eastAsia="宋体" w:cs="Times New Roman"/>
          <w:szCs w:val="21"/>
          <w:lang w:eastAsia="zh-CN"/>
        </w:rPr>
        <w:t>态度</w:t>
      </w:r>
      <w:r>
        <w:rPr>
          <w:rFonts w:hint="eastAsia" w:ascii="Calibri" w:hAnsi="Calibri" w:eastAsia="宋体" w:cs="Times New Roman"/>
          <w:szCs w:val="21"/>
        </w:rPr>
        <w:t>。</w:t>
      </w:r>
    </w:p>
    <w:p>
      <w:pPr>
        <w:ind w:firstLine="424" w:firstLineChars="202"/>
        <w:rPr>
          <w:rFonts w:ascii="Calibri" w:hAnsi="Calibri" w:eastAsia="宋体" w:cs="Times New Roman"/>
          <w:szCs w:val="21"/>
        </w:rPr>
      </w:pPr>
    </w:p>
    <w:p>
      <w:pPr>
        <w:ind w:firstLine="424" w:firstLineChars="202"/>
        <w:rPr>
          <w:rFonts w:ascii="Calibri" w:hAnsi="Calibri" w:eastAsia="宋体" w:cs="Times New Roman"/>
          <w:szCs w:val="21"/>
        </w:rPr>
      </w:pPr>
    </w:p>
    <w:p>
      <w:pPr>
        <w:rPr>
          <w:rFonts w:ascii="黑体" w:hAnsi="黑体" w:eastAsia="黑体" w:cs="Times New Roman"/>
          <w:b/>
          <w:bCs/>
          <w:sz w:val="24"/>
        </w:rPr>
      </w:pPr>
    </w:p>
    <w:p>
      <w:pPr>
        <w:numPr>
          <w:ilvl w:val="0"/>
          <w:numId w:val="2"/>
        </w:numPr>
        <w:outlineLvl w:val="1"/>
        <w:rPr>
          <w:rFonts w:ascii="黑体" w:hAnsi="黑体" w:eastAsia="黑体" w:cs="Times New Roman"/>
          <w:b/>
          <w:bCs/>
          <w:sz w:val="24"/>
        </w:rPr>
      </w:pPr>
      <w:r>
        <w:rPr>
          <w:rFonts w:hint="eastAsia" w:ascii="黑体" w:hAnsi="黑体" w:eastAsia="黑体" w:cs="Times New Roman"/>
          <w:b/>
          <w:bCs/>
          <w:sz w:val="24"/>
        </w:rPr>
        <w:t>8月乘用车市场周度批发走势</w:t>
      </w:r>
    </w:p>
    <w:p>
      <w:pPr>
        <w:jc w:val="center"/>
        <w:rPr>
          <w:rFonts w:ascii="Calibri" w:hAnsi="Calibri" w:eastAsia="宋体" w:cs="宋体"/>
          <w:szCs w:val="21"/>
        </w:rPr>
      </w:pPr>
      <w:r>
        <w:rPr>
          <w:rFonts w:hint="eastAsia" w:ascii="Calibri" w:hAnsi="Calibri" w:eastAsia="宋体" w:cs="宋体"/>
          <w:szCs w:val="21"/>
        </w:rPr>
        <w:drawing>
          <wp:inline distT="0" distB="0" distL="0" distR="0">
            <wp:extent cx="4679950" cy="3660140"/>
            <wp:effectExtent l="0" t="0" r="6350" b="1651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pic:cNvPicPr>
                  </pic:nvPicPr>
                  <pic:blipFill>
                    <a:blip r:embed="rId6">
                      <a:extLst>
                        <a:ext uri="{28A0092B-C50C-407E-A947-70E740481C1C}">
                          <a14:useLocalDpi xmlns:a14="http://schemas.microsoft.com/office/drawing/2010/main" val="0"/>
                        </a:ext>
                      </a:extLst>
                    </a:blip>
                    <a:stretch>
                      <a:fillRect/>
                    </a:stretch>
                  </pic:blipFill>
                  <pic:spPr>
                    <a:xfrm>
                      <a:off x="0" y="0"/>
                      <a:ext cx="4680000" cy="3660750"/>
                    </a:xfrm>
                    <a:prstGeom prst="rect">
                      <a:avLst/>
                    </a:prstGeom>
                  </pic:spPr>
                </pic:pic>
              </a:graphicData>
            </a:graphic>
          </wp:inline>
        </w:drawing>
      </w:r>
    </w:p>
    <w:p>
      <w:pPr>
        <w:ind w:firstLine="567" w:firstLineChars="270"/>
        <w:rPr>
          <w:rFonts w:ascii="Calibri" w:hAnsi="Calibri" w:eastAsia="宋体" w:cs="Times New Roman"/>
          <w:szCs w:val="21"/>
        </w:rPr>
      </w:pPr>
      <w:r>
        <w:rPr>
          <w:rFonts w:ascii="Calibri" w:hAnsi="Calibri" w:eastAsia="宋体" w:cs="Times New Roman"/>
          <w:szCs w:val="21"/>
        </w:rPr>
        <w:t>8</w:t>
      </w:r>
      <w:r>
        <w:rPr>
          <w:rFonts w:hint="eastAsia" w:ascii="Calibri" w:hAnsi="Calibri" w:eastAsia="宋体" w:cs="Times New Roman"/>
          <w:szCs w:val="21"/>
        </w:rPr>
        <w:t>月第一周主力厂商批发销量达到日均</w:t>
      </w:r>
      <w:r>
        <w:rPr>
          <w:rFonts w:ascii="Calibri" w:hAnsi="Calibri" w:eastAsia="宋体" w:cs="Times New Roman"/>
          <w:szCs w:val="21"/>
        </w:rPr>
        <w:t>3</w:t>
      </w:r>
      <w:r>
        <w:rPr>
          <w:rFonts w:hint="eastAsia" w:ascii="Calibri" w:hAnsi="Calibri" w:eastAsia="宋体" w:cs="Times New Roman"/>
          <w:szCs w:val="21"/>
        </w:rPr>
        <w:t>.</w:t>
      </w:r>
      <w:r>
        <w:rPr>
          <w:rFonts w:ascii="Calibri" w:hAnsi="Calibri" w:eastAsia="宋体" w:cs="Times New Roman"/>
          <w:szCs w:val="21"/>
        </w:rPr>
        <w:t>1</w:t>
      </w:r>
      <w:r>
        <w:rPr>
          <w:rFonts w:hint="eastAsia" w:ascii="Calibri" w:hAnsi="Calibri" w:eastAsia="宋体" w:cs="Times New Roman"/>
          <w:szCs w:val="21"/>
        </w:rPr>
        <w:t>万辆，同比去年</w:t>
      </w:r>
      <w:r>
        <w:rPr>
          <w:rFonts w:ascii="Calibri" w:hAnsi="Calibri" w:eastAsia="宋体" w:cs="Times New Roman"/>
          <w:szCs w:val="21"/>
        </w:rPr>
        <w:t>8</w:t>
      </w:r>
      <w:r>
        <w:rPr>
          <w:rFonts w:hint="eastAsia" w:ascii="Calibri" w:hAnsi="Calibri" w:eastAsia="宋体" w:cs="Times New Roman"/>
          <w:szCs w:val="21"/>
        </w:rPr>
        <w:t>月增长</w:t>
      </w:r>
      <w:r>
        <w:rPr>
          <w:rFonts w:ascii="Calibri" w:hAnsi="Calibri" w:eastAsia="宋体" w:cs="Times New Roman"/>
          <w:szCs w:val="21"/>
        </w:rPr>
        <w:t>12</w:t>
      </w:r>
      <w:r>
        <w:rPr>
          <w:rFonts w:hint="eastAsia" w:ascii="Calibri" w:hAnsi="Calibri" w:eastAsia="宋体" w:cs="Times New Roman"/>
          <w:szCs w:val="21"/>
        </w:rPr>
        <w:t>%。但相对</w:t>
      </w:r>
      <w:r>
        <w:rPr>
          <w:rFonts w:ascii="Calibri" w:hAnsi="Calibri" w:eastAsia="宋体" w:cs="Times New Roman"/>
          <w:szCs w:val="21"/>
        </w:rPr>
        <w:t>7</w:t>
      </w:r>
      <w:r>
        <w:rPr>
          <w:rFonts w:hint="eastAsia" w:ascii="Calibri" w:hAnsi="Calibri" w:eastAsia="宋体" w:cs="Times New Roman"/>
          <w:szCs w:val="21"/>
        </w:rPr>
        <w:t>月第一周下降</w:t>
      </w:r>
      <w:r>
        <w:rPr>
          <w:rFonts w:ascii="Calibri" w:hAnsi="Calibri" w:eastAsia="宋体" w:cs="Times New Roman"/>
          <w:szCs w:val="21"/>
        </w:rPr>
        <w:t>6</w:t>
      </w:r>
      <w:r>
        <w:rPr>
          <w:rFonts w:hint="eastAsia" w:ascii="Calibri" w:hAnsi="Calibri" w:eastAsia="宋体" w:cs="Times New Roman"/>
          <w:szCs w:val="21"/>
        </w:rPr>
        <w:t>%。</w:t>
      </w:r>
    </w:p>
    <w:p>
      <w:pPr>
        <w:ind w:firstLine="567" w:firstLineChars="270"/>
        <w:rPr>
          <w:rFonts w:ascii="Calibri" w:hAnsi="Calibri" w:eastAsia="宋体" w:cs="Times New Roman"/>
          <w:szCs w:val="21"/>
        </w:rPr>
      </w:pPr>
      <w:r>
        <w:rPr>
          <w:rFonts w:ascii="Calibri" w:hAnsi="Calibri" w:eastAsia="宋体" w:cs="Times New Roman"/>
          <w:szCs w:val="21"/>
        </w:rPr>
        <w:t>8</w:t>
      </w:r>
      <w:r>
        <w:rPr>
          <w:rFonts w:hint="eastAsia" w:ascii="Calibri" w:hAnsi="Calibri" w:eastAsia="宋体" w:cs="Times New Roman"/>
          <w:szCs w:val="21"/>
        </w:rPr>
        <w:t>月第二周主力厂商批发销量达到日均</w:t>
      </w:r>
      <w:r>
        <w:rPr>
          <w:rFonts w:ascii="Calibri" w:hAnsi="Calibri" w:eastAsia="宋体" w:cs="Times New Roman"/>
          <w:szCs w:val="21"/>
        </w:rPr>
        <w:t>3.7</w:t>
      </w:r>
      <w:r>
        <w:rPr>
          <w:rFonts w:hint="eastAsia" w:ascii="Calibri" w:hAnsi="Calibri" w:eastAsia="宋体" w:cs="Times New Roman"/>
          <w:szCs w:val="21"/>
        </w:rPr>
        <w:t>万辆，同比去年</w:t>
      </w:r>
      <w:r>
        <w:rPr>
          <w:rFonts w:ascii="Calibri" w:hAnsi="Calibri" w:eastAsia="宋体" w:cs="Times New Roman"/>
          <w:szCs w:val="21"/>
        </w:rPr>
        <w:t>8</w:t>
      </w:r>
      <w:r>
        <w:rPr>
          <w:rFonts w:hint="eastAsia" w:ascii="Calibri" w:hAnsi="Calibri" w:eastAsia="宋体" w:cs="Times New Roman"/>
          <w:szCs w:val="21"/>
        </w:rPr>
        <w:t>月增长</w:t>
      </w:r>
      <w:r>
        <w:rPr>
          <w:rFonts w:ascii="Calibri" w:hAnsi="Calibri" w:eastAsia="宋体" w:cs="Times New Roman"/>
          <w:szCs w:val="21"/>
        </w:rPr>
        <w:t>3</w:t>
      </w:r>
      <w:r>
        <w:rPr>
          <w:rFonts w:hint="eastAsia" w:ascii="Calibri" w:hAnsi="Calibri" w:eastAsia="宋体" w:cs="Times New Roman"/>
          <w:szCs w:val="21"/>
        </w:rPr>
        <w:t>%。但相对</w:t>
      </w:r>
      <w:r>
        <w:rPr>
          <w:rFonts w:ascii="Calibri" w:hAnsi="Calibri" w:eastAsia="宋体" w:cs="Times New Roman"/>
          <w:szCs w:val="21"/>
        </w:rPr>
        <w:t>7</w:t>
      </w:r>
      <w:r>
        <w:rPr>
          <w:rFonts w:hint="eastAsia" w:ascii="Calibri" w:hAnsi="Calibri" w:eastAsia="宋体" w:cs="Times New Roman"/>
          <w:szCs w:val="21"/>
        </w:rPr>
        <w:t>月第二周下降</w:t>
      </w:r>
      <w:r>
        <w:rPr>
          <w:rFonts w:ascii="Calibri" w:hAnsi="Calibri" w:eastAsia="宋体" w:cs="Times New Roman"/>
          <w:szCs w:val="21"/>
        </w:rPr>
        <w:t>6</w:t>
      </w:r>
      <w:r>
        <w:rPr>
          <w:rFonts w:hint="eastAsia" w:ascii="Calibri" w:hAnsi="Calibri" w:eastAsia="宋体" w:cs="Times New Roman"/>
          <w:szCs w:val="21"/>
        </w:rPr>
        <w:t>%。</w:t>
      </w:r>
    </w:p>
    <w:p>
      <w:pPr>
        <w:ind w:firstLine="567" w:firstLineChars="270"/>
        <w:rPr>
          <w:rFonts w:ascii="Calibri" w:hAnsi="Calibri" w:eastAsia="宋体" w:cs="Times New Roman"/>
          <w:szCs w:val="21"/>
        </w:rPr>
      </w:pPr>
      <w:r>
        <w:rPr>
          <w:rFonts w:hint="eastAsia" w:ascii="Calibri" w:hAnsi="Calibri" w:eastAsia="宋体" w:cs="Times New Roman"/>
          <w:szCs w:val="21"/>
        </w:rPr>
        <w:t>今年部分车企的高温假集中在</w:t>
      </w:r>
      <w:r>
        <w:rPr>
          <w:rFonts w:ascii="Calibri" w:hAnsi="Calibri" w:eastAsia="宋体" w:cs="Times New Roman"/>
          <w:szCs w:val="21"/>
        </w:rPr>
        <w:t>8月上旬，生产部门在满足库存需求的情况下集中休假，营销部门的多数没有休息，紧抓终端市场，产销增长相对平稳。</w:t>
      </w:r>
    </w:p>
    <w:p>
      <w:pPr>
        <w:ind w:firstLine="567" w:firstLineChars="270"/>
        <w:rPr>
          <w:rFonts w:ascii="Calibri" w:hAnsi="Calibri" w:eastAsia="宋体" w:cs="Times New Roman"/>
          <w:szCs w:val="21"/>
        </w:rPr>
      </w:pPr>
      <w:r>
        <w:rPr>
          <w:rFonts w:hint="eastAsia" w:ascii="Calibri" w:hAnsi="Calibri" w:eastAsia="宋体" w:cs="Times New Roman"/>
          <w:szCs w:val="21"/>
        </w:rPr>
        <w:t>目前看</w:t>
      </w:r>
      <w:r>
        <w:rPr>
          <w:rFonts w:hint="eastAsia" w:ascii="Calibri" w:hAnsi="Calibri" w:eastAsia="宋体" w:cs="Times New Roman"/>
          <w:szCs w:val="21"/>
          <w:lang w:eastAsia="zh-CN"/>
        </w:rPr>
        <w:t>，</w:t>
      </w:r>
      <w:r>
        <w:rPr>
          <w:rFonts w:hint="eastAsia" w:ascii="Calibri" w:hAnsi="Calibri" w:eastAsia="宋体" w:cs="Times New Roman"/>
          <w:szCs w:val="21"/>
        </w:rPr>
        <w:t>厂家销量走势仍是平稳推进，产销相对顺畅。由于集中休假因素导致的上半月厂商销量环比</w:t>
      </w:r>
      <w:r>
        <w:rPr>
          <w:rFonts w:ascii="Calibri" w:hAnsi="Calibri" w:eastAsia="宋体" w:cs="Times New Roman"/>
          <w:szCs w:val="21"/>
        </w:rPr>
        <w:t>7</w:t>
      </w:r>
      <w:r>
        <w:rPr>
          <w:rFonts w:hint="eastAsia" w:ascii="Calibri" w:hAnsi="Calibri" w:eastAsia="宋体" w:cs="Times New Roman"/>
          <w:szCs w:val="21"/>
        </w:rPr>
        <w:t>月走势下降也是正常的</w:t>
      </w:r>
      <w:r>
        <w:rPr>
          <w:rFonts w:hint="eastAsia" w:ascii="Calibri" w:hAnsi="Calibri" w:eastAsia="宋体" w:cs="Times New Roman"/>
          <w:szCs w:val="21"/>
          <w:lang w:eastAsia="zh-CN"/>
        </w:rPr>
        <w:t>现象</w:t>
      </w:r>
      <w:r>
        <w:rPr>
          <w:rFonts w:hint="eastAsia" w:ascii="Calibri" w:hAnsi="Calibri" w:eastAsia="宋体" w:cs="Times New Roman"/>
          <w:szCs w:val="21"/>
        </w:rPr>
        <w:t>。</w:t>
      </w:r>
    </w:p>
    <w:p>
      <w:pPr>
        <w:ind w:firstLine="567" w:firstLineChars="270"/>
        <w:rPr>
          <w:rFonts w:ascii="Calibri" w:hAnsi="Calibri" w:eastAsia="宋体" w:cs="Times New Roman"/>
          <w:szCs w:val="21"/>
        </w:rPr>
      </w:pPr>
      <w:r>
        <w:rPr>
          <w:rFonts w:hint="eastAsia" w:ascii="Calibri" w:hAnsi="Calibri" w:eastAsia="宋体" w:cs="Times New Roman"/>
          <w:szCs w:val="21"/>
        </w:rPr>
        <w:t>下半月产销回升明显。随着经销商库存进入秋季补库存周期，补库需要应该相对强烈，经销商的责任也是</w:t>
      </w:r>
      <w:r>
        <w:rPr>
          <w:rFonts w:hint="eastAsia" w:ascii="Calibri" w:hAnsi="Calibri" w:eastAsia="宋体" w:cs="Times New Roman"/>
          <w:szCs w:val="21"/>
          <w:lang w:eastAsia="zh-CN"/>
        </w:rPr>
        <w:t>在</w:t>
      </w:r>
      <w:r>
        <w:rPr>
          <w:rFonts w:hint="eastAsia" w:ascii="Calibri" w:hAnsi="Calibri" w:eastAsia="宋体" w:cs="Times New Roman"/>
          <w:szCs w:val="21"/>
        </w:rPr>
        <w:t>8-</w:t>
      </w:r>
      <w:r>
        <w:rPr>
          <w:rFonts w:ascii="Calibri" w:hAnsi="Calibri" w:eastAsia="宋体" w:cs="Times New Roman"/>
          <w:szCs w:val="21"/>
        </w:rPr>
        <w:t>10</w:t>
      </w:r>
      <w:r>
        <w:rPr>
          <w:rFonts w:hint="eastAsia" w:ascii="Calibri" w:hAnsi="Calibri" w:eastAsia="宋体" w:cs="Times New Roman"/>
          <w:szCs w:val="21"/>
        </w:rPr>
        <w:t>月大力储备库存，为秋冬季高销量做好产销平衡工作。因此8月的厂家销量</w:t>
      </w:r>
      <w:r>
        <w:rPr>
          <w:rFonts w:hint="eastAsia" w:ascii="Calibri" w:hAnsi="Calibri" w:eastAsia="宋体" w:cs="Times New Roman"/>
          <w:szCs w:val="21"/>
          <w:lang w:eastAsia="zh-CN"/>
        </w:rPr>
        <w:t>预计</w:t>
      </w:r>
      <w:r>
        <w:rPr>
          <w:rFonts w:hint="eastAsia" w:ascii="Calibri" w:hAnsi="Calibri" w:eastAsia="宋体" w:cs="Times New Roman"/>
          <w:szCs w:val="21"/>
        </w:rPr>
        <w:t>应该也是较高的。</w:t>
      </w:r>
    </w:p>
    <w:p>
      <w:pPr>
        <w:ind w:firstLine="283" w:firstLineChars="135"/>
        <w:rPr>
          <w:rFonts w:ascii="Calibri" w:hAnsi="Calibri" w:eastAsia="宋体" w:cs="Times New Roman"/>
          <w:szCs w:val="21"/>
        </w:rPr>
      </w:pPr>
    </w:p>
    <w:p>
      <w:pPr>
        <w:numPr>
          <w:ilvl w:val="0"/>
          <w:numId w:val="2"/>
        </w:numPr>
        <w:outlineLvl w:val="1"/>
        <w:rPr>
          <w:rFonts w:ascii="黑体" w:hAnsi="黑体" w:eastAsia="黑体" w:cs="Times New Roman"/>
          <w:b/>
          <w:bCs/>
          <w:sz w:val="24"/>
        </w:rPr>
      </w:pPr>
      <w:r>
        <w:rPr>
          <w:rFonts w:hint="eastAsia" w:ascii="黑体" w:hAnsi="黑体" w:eastAsia="黑体" w:cs="Times New Roman"/>
          <w:b/>
          <w:bCs/>
          <w:sz w:val="24"/>
        </w:rPr>
        <w:t>世界企业</w:t>
      </w:r>
      <w:r>
        <w:rPr>
          <w:rFonts w:ascii="黑体" w:hAnsi="黑体" w:eastAsia="黑体" w:cs="Times New Roman"/>
          <w:b/>
          <w:bCs/>
          <w:sz w:val="24"/>
        </w:rPr>
        <w:t>500强的中国汽车公司较好</w:t>
      </w:r>
    </w:p>
    <w:p>
      <w:pPr>
        <w:ind w:firstLine="424" w:firstLineChars="202"/>
        <w:rPr>
          <w:rFonts w:ascii="Calibri" w:hAnsi="Calibri" w:eastAsia="宋体" w:cs="宋体"/>
          <w:szCs w:val="21"/>
        </w:rPr>
      </w:pPr>
      <w:r>
        <w:rPr>
          <w:rFonts w:ascii="Calibri" w:hAnsi="Calibri" w:eastAsia="宋体" w:cs="宋体"/>
          <w:szCs w:val="21"/>
        </w:rPr>
        <w:t>8月10日《财富》公布了2020年世界最新500强名单，其中中国以133家上榜企业成为全球入围企业数量第一的国家。</w:t>
      </w:r>
      <w:r>
        <w:rPr>
          <w:rFonts w:hint="eastAsia" w:ascii="Calibri" w:hAnsi="Calibri" w:eastAsia="宋体" w:cs="宋体"/>
          <w:szCs w:val="21"/>
        </w:rPr>
        <w:t>实际上我们还有很多有规模的好企业没有进入5</w:t>
      </w:r>
      <w:r>
        <w:rPr>
          <w:rFonts w:ascii="Calibri" w:hAnsi="Calibri" w:eastAsia="宋体" w:cs="宋体"/>
          <w:szCs w:val="21"/>
        </w:rPr>
        <w:t>00</w:t>
      </w:r>
      <w:r>
        <w:rPr>
          <w:rFonts w:hint="eastAsia" w:ascii="Calibri" w:hAnsi="Calibri" w:eastAsia="宋体" w:cs="宋体"/>
          <w:szCs w:val="21"/>
        </w:rPr>
        <w:t>强，我们的实际实力要强的多。</w:t>
      </w:r>
    </w:p>
    <w:p>
      <w:pPr>
        <w:ind w:firstLine="424" w:firstLineChars="202"/>
        <w:rPr>
          <w:rFonts w:ascii="Calibri" w:hAnsi="Calibri" w:eastAsia="宋体" w:cs="宋体"/>
          <w:szCs w:val="21"/>
        </w:rPr>
      </w:pPr>
      <w:r>
        <w:rPr>
          <w:rFonts w:hint="eastAsia" w:ascii="Calibri" w:hAnsi="Calibri" w:eastAsia="宋体" w:cs="宋体"/>
          <w:szCs w:val="21"/>
        </w:rPr>
        <w:t>世界企业</w:t>
      </w:r>
      <w:r>
        <w:rPr>
          <w:rFonts w:ascii="Calibri" w:hAnsi="Calibri" w:eastAsia="宋体" w:cs="宋体"/>
          <w:szCs w:val="21"/>
        </w:rPr>
        <w:t>500强的中国房地产公司独步世界，互联网公司一般，实体商贸超市等表现较差，对车市发展不利。作为民营企业入围榜单前列的华为、阿里巴巴和腾讯等具有一定自主创新能力的企业今年受到国际形势的影响，未来的发展前途也是不够稳定的。民营经济强，竞争性行业强，车企的消费群体才能强。但中国车企顽强向上，业绩表现良好，世界排名相对稳定。</w:t>
      </w:r>
    </w:p>
    <w:p>
      <w:pPr>
        <w:ind w:firstLine="424" w:firstLineChars="202"/>
        <w:rPr>
          <w:rFonts w:ascii="Calibri" w:hAnsi="Calibri" w:eastAsia="宋体" w:cs="宋体"/>
          <w:szCs w:val="21"/>
        </w:rPr>
      </w:pPr>
      <w:r>
        <w:rPr>
          <w:rFonts w:hint="eastAsia" w:ascii="Calibri" w:hAnsi="Calibri" w:eastAsia="宋体" w:cs="宋体"/>
          <w:szCs w:val="21"/>
        </w:rPr>
        <w:t>国内的各行业间差距巨大，同样的人在不同行业的待遇差距巨大，毕业去I</w:t>
      </w:r>
      <w:r>
        <w:rPr>
          <w:rFonts w:ascii="Calibri" w:hAnsi="Calibri" w:eastAsia="宋体" w:cs="宋体"/>
          <w:szCs w:val="21"/>
        </w:rPr>
        <w:t>T</w:t>
      </w:r>
      <w:r>
        <w:rPr>
          <w:rFonts w:hint="eastAsia" w:ascii="Calibri" w:hAnsi="Calibri" w:eastAsia="宋体" w:cs="宋体"/>
          <w:szCs w:val="21"/>
        </w:rPr>
        <w:t>行业或投资行业，比去制造业的收入有巨大差距。对汽车用户来说，分析行业的特征与差距，可以更好的挖掘消费群体，对车企来说更多的进行经济领域各行业的行业状态分析，更好的把握行业用户特征是很有意义的。</w:t>
      </w:r>
    </w:p>
    <w:p>
      <w:pPr>
        <w:ind w:firstLine="424" w:firstLineChars="202"/>
        <w:rPr>
          <w:rFonts w:ascii="Calibri" w:hAnsi="Calibri" w:eastAsia="宋体" w:cs="宋体"/>
          <w:szCs w:val="21"/>
        </w:rPr>
      </w:pPr>
    </w:p>
    <w:p>
      <w:pPr>
        <w:numPr>
          <w:ilvl w:val="0"/>
          <w:numId w:val="2"/>
        </w:numPr>
        <w:outlineLvl w:val="1"/>
        <w:rPr>
          <w:rFonts w:ascii="黑体" w:hAnsi="黑体" w:eastAsia="黑体" w:cs="Times New Roman"/>
          <w:bCs/>
          <w:sz w:val="24"/>
        </w:rPr>
      </w:pPr>
      <w:r>
        <w:rPr>
          <w:rFonts w:ascii="黑体" w:hAnsi="黑体" w:eastAsia="黑体" w:cs="Times New Roman"/>
          <w:bCs/>
          <w:sz w:val="24"/>
        </w:rPr>
        <w:t>7月汽车消费增12%、新能源车产11万</w:t>
      </w:r>
    </w:p>
    <w:p>
      <w:pPr>
        <w:ind w:firstLine="424" w:firstLineChars="202"/>
        <w:rPr>
          <w:rFonts w:hint="eastAsia" w:ascii="Calibri" w:hAnsi="Calibri" w:eastAsia="宋体" w:cs="宋体"/>
          <w:szCs w:val="21"/>
        </w:rPr>
      </w:pPr>
      <w:r>
        <w:rPr>
          <w:rFonts w:hint="eastAsia" w:ascii="Calibri" w:hAnsi="Calibri" w:eastAsia="宋体" w:cs="宋体"/>
          <w:szCs w:val="21"/>
        </w:rPr>
        <w:t>根据国家统计局数据，今年7月的汽车生产226万辆，增长27%是较大的增幅； 20年7月的汽车增加值13%，处近期高位，好于去年走势。7月汽车消费品零售总额同比下降8%，在高基数下已经算很好。</w:t>
      </w:r>
    </w:p>
    <w:p>
      <w:pPr>
        <w:ind w:firstLine="424" w:firstLineChars="202"/>
        <w:rPr>
          <w:rFonts w:hint="eastAsia" w:ascii="Calibri" w:hAnsi="Calibri" w:eastAsia="宋体" w:cs="宋体"/>
          <w:szCs w:val="21"/>
        </w:rPr>
      </w:pPr>
      <w:r>
        <w:rPr>
          <w:rFonts w:hint="eastAsia" w:ascii="Calibri" w:hAnsi="Calibri" w:eastAsia="宋体" w:cs="宋体"/>
          <w:szCs w:val="21"/>
        </w:rPr>
        <w:t>19年生产119万辆新能源车，增速-1%的走势不强。20年1-7月生产51万辆新能源车，增速-30%的走势偏弱。但7月的新能源汽车生产11万，增长37%。</w:t>
      </w:r>
    </w:p>
    <w:p>
      <w:pPr>
        <w:ind w:firstLine="424" w:firstLineChars="202"/>
        <w:rPr>
          <w:rFonts w:cs="黑体" w:asciiTheme="minorEastAsia" w:hAnsiTheme="minorEastAsia"/>
          <w:bCs/>
          <w:szCs w:val="21"/>
        </w:rPr>
      </w:pPr>
    </w:p>
    <w:p>
      <w:pPr>
        <w:numPr>
          <w:ilvl w:val="0"/>
          <w:numId w:val="2"/>
        </w:numPr>
        <w:outlineLvl w:val="1"/>
        <w:rPr>
          <w:rFonts w:ascii="黑体" w:hAnsi="黑体" w:eastAsia="黑体" w:cs="黑体"/>
          <w:bCs/>
          <w:sz w:val="24"/>
        </w:rPr>
      </w:pPr>
      <w:r>
        <w:rPr>
          <w:rFonts w:hint="eastAsia" w:ascii="黑体" w:hAnsi="黑体" w:eastAsia="黑体" w:cs="黑体"/>
          <w:bCs/>
          <w:sz w:val="24"/>
        </w:rPr>
        <w:t>海外车市逐步回暖</w:t>
      </w:r>
    </w:p>
    <w:p>
      <w:pPr>
        <w:ind w:firstLine="424" w:firstLineChars="202"/>
        <w:rPr>
          <w:rFonts w:hint="eastAsia" w:ascii="Calibri" w:hAnsi="Calibri" w:eastAsia="宋体" w:cs="宋体"/>
          <w:szCs w:val="21"/>
        </w:rPr>
      </w:pPr>
      <w:r>
        <w:rPr>
          <w:rFonts w:hint="eastAsia" w:ascii="Calibri" w:hAnsi="Calibri" w:eastAsia="宋体" w:cs="宋体"/>
          <w:szCs w:val="21"/>
        </w:rPr>
        <w:t xml:space="preserve">近期中国乘用车市场最强，7月中国乘用车市场零售160万辆增长8%的表现是最强的。疫情影响下的海外车市逐步回暖，美国7月轻型车销量下降12.2%至122.7万辆。日本7月新车销量下降13.7%至39.6万辆，德国7月乘用车销量下降5.4%至31.5万辆，总体看发达国家车市进入相对平稳期，市场需求逐步复苏。由于中国的制造业供应链最强，尤其是疫情过程中的稳定供给，因此对国际的汽车市场稳定回暖的贡献度巨大。近期的发达国家成为中国汽车出口的主力，也是中国乘用车企业国际贡献的体现。 </w:t>
      </w:r>
    </w:p>
    <w:p>
      <w:pPr>
        <w:ind w:firstLine="424" w:firstLineChars="202"/>
        <w:rPr>
          <w:rFonts w:cs="黑体" w:asciiTheme="minorEastAsia" w:hAnsiTheme="minorEastAsia"/>
          <w:bCs/>
          <w:szCs w:val="21"/>
        </w:rPr>
      </w:pPr>
    </w:p>
    <w:p>
      <w:pPr>
        <w:numPr>
          <w:ilvl w:val="0"/>
          <w:numId w:val="2"/>
        </w:numPr>
        <w:outlineLvl w:val="1"/>
        <w:rPr>
          <w:rFonts w:ascii="黑体" w:hAnsi="黑体" w:eastAsia="黑体" w:cs="黑体"/>
          <w:bCs/>
          <w:sz w:val="24"/>
        </w:rPr>
      </w:pPr>
      <w:r>
        <w:rPr>
          <w:rFonts w:hint="eastAsia" w:ascii="黑体" w:hAnsi="黑体" w:eastAsia="黑体" w:cs="黑体"/>
          <w:bCs/>
          <w:sz w:val="24"/>
        </w:rPr>
        <w:t>特斯拉车被电商平台转售</w:t>
      </w:r>
    </w:p>
    <w:p>
      <w:pPr>
        <w:ind w:firstLine="424" w:firstLineChars="202"/>
        <w:rPr>
          <w:rFonts w:hint="eastAsia" w:ascii="Calibri" w:hAnsi="Calibri" w:eastAsia="宋体" w:cs="宋体"/>
          <w:szCs w:val="21"/>
        </w:rPr>
      </w:pPr>
      <w:r>
        <w:rPr>
          <w:rFonts w:hint="eastAsia" w:ascii="Calibri" w:hAnsi="Calibri" w:eastAsia="宋体" w:cs="宋体"/>
          <w:szCs w:val="21"/>
        </w:rPr>
        <w:t>近日特斯拉Model 3被某著名电商平台转售，因此诸多争论。由于国内电商在本土的强势地位，且国内电商善于研究政策与法规，很多车企相对</w:t>
      </w:r>
      <w:r>
        <w:rPr>
          <w:rFonts w:hint="eastAsia" w:ascii="Calibri" w:hAnsi="Calibri" w:eastAsia="宋体" w:cs="宋体"/>
          <w:szCs w:val="21"/>
          <w:lang w:eastAsia="zh-CN"/>
        </w:rPr>
        <w:t>于</w:t>
      </w:r>
      <w:r>
        <w:rPr>
          <w:rFonts w:hint="eastAsia" w:ascii="Calibri" w:hAnsi="Calibri" w:eastAsia="宋体" w:cs="宋体"/>
          <w:szCs w:val="21"/>
        </w:rPr>
        <w:t>电商平台是被动的。结果自然是符合预期的。</w:t>
      </w:r>
    </w:p>
    <w:p>
      <w:pPr>
        <w:ind w:firstLine="424" w:firstLineChars="202"/>
        <w:rPr>
          <w:rFonts w:hint="eastAsia" w:ascii="Calibri" w:hAnsi="Calibri" w:eastAsia="宋体" w:cs="宋体"/>
          <w:szCs w:val="21"/>
        </w:rPr>
      </w:pPr>
      <w:r>
        <w:rPr>
          <w:rFonts w:hint="eastAsia" w:ascii="Calibri" w:hAnsi="Calibri" w:eastAsia="宋体" w:cs="宋体"/>
          <w:szCs w:val="21"/>
        </w:rPr>
        <w:t>目前国内电商平台过度注重销售额</w:t>
      </w:r>
      <w:r>
        <w:rPr>
          <w:rFonts w:hint="eastAsia" w:ascii="Calibri" w:hAnsi="Calibri" w:eastAsia="宋体" w:cs="宋体"/>
          <w:szCs w:val="21"/>
          <w:lang w:eastAsia="zh-CN"/>
        </w:rPr>
        <w:t>的增加和</w:t>
      </w:r>
      <w:r>
        <w:rPr>
          <w:rFonts w:hint="eastAsia" w:ascii="Calibri" w:hAnsi="Calibri" w:eastAsia="宋体" w:cs="宋体"/>
          <w:szCs w:val="21"/>
        </w:rPr>
        <w:t>提升市值的增值亮点，这也是可以理解的。虽然未经授权，但如果能攻下汽车销售的渠道，则销售额增加是百亿乃至千亿规模的，因此特定阶段的每台亏几万元也是值得的，吃瓜群众也是乐见其成的。他们并不是为消费者牟利，而是借付款渠道转接，获取股市估值的要素等诸多亮点。</w:t>
      </w:r>
    </w:p>
    <w:p>
      <w:pPr>
        <w:ind w:firstLine="424" w:firstLineChars="202"/>
        <w:rPr>
          <w:rFonts w:hint="eastAsia" w:ascii="Calibri" w:hAnsi="Calibri" w:eastAsia="宋体" w:cs="宋体"/>
          <w:szCs w:val="21"/>
        </w:rPr>
      </w:pPr>
      <w:r>
        <w:rPr>
          <w:rFonts w:hint="eastAsia" w:ascii="Calibri" w:hAnsi="Calibri" w:eastAsia="宋体" w:cs="宋体"/>
          <w:szCs w:val="21"/>
        </w:rPr>
        <w:t>未来看，特斯拉的产品渠道自主化控制是不会改变的。目前传统车企的产品销售也是自主控制。电商平台的转售等模式采取的是直接低价模式，对车企品牌价值是不利的。正常的成熟车企一般不会把电商作为主渠道。未来能否类似家电一样的电商销售低价低标型号的模式能否出现仍不确定。但对品牌重视的主力车企的电商化销售不会成规模。</w:t>
      </w:r>
    </w:p>
    <w:p>
      <w:pPr>
        <w:ind w:firstLine="424" w:firstLineChars="202"/>
        <w:rPr>
          <w:rFonts w:cs="黑体" w:asciiTheme="minorEastAsia" w:hAnsiTheme="minorEastAsia"/>
          <w:bCs/>
          <w:szCs w:val="21"/>
        </w:rPr>
      </w:pPr>
    </w:p>
    <w:p>
      <w:pPr>
        <w:rPr>
          <w:rFonts w:cs="黑体" w:asciiTheme="minorEastAsia" w:hAnsiTheme="minorEastAsia"/>
          <w:bCs/>
          <w:szCs w:val="21"/>
        </w:rPr>
      </w:pPr>
    </w:p>
    <w:p>
      <w:pPr>
        <w:outlineLvl w:val="0"/>
        <w:rPr>
          <w:b/>
        </w:rPr>
      </w:pPr>
      <w:r>
        <w:rPr>
          <w:rFonts w:hint="eastAsia"/>
          <w:b/>
        </w:rPr>
        <w:t>二、</w:t>
      </w:r>
      <w:r>
        <w:rPr>
          <w:rFonts w:hint="eastAsia" w:cs="宋体"/>
          <w:b/>
          <w:bCs/>
        </w:rPr>
        <w:t>本周上市新车</w:t>
      </w:r>
    </w:p>
    <w:p>
      <w:pPr>
        <w:pStyle w:val="17"/>
        <w:numPr>
          <w:ilvl w:val="0"/>
          <w:numId w:val="3"/>
        </w:numPr>
        <w:ind w:firstLineChars="0"/>
        <w:outlineLvl w:val="1"/>
        <w:rPr>
          <w:b/>
        </w:rPr>
      </w:pPr>
      <w:r>
        <w:rPr>
          <w:b/>
        </w:rPr>
        <w:t>枫叶30X智行版</w:t>
      </w:r>
    </w:p>
    <w:tbl>
      <w:tblPr>
        <w:tblStyle w:val="8"/>
        <w:tblW w:w="0" w:type="auto"/>
        <w:tblCellSpacing w:w="15" w:type="dxa"/>
        <w:tblInd w:w="0" w:type="dxa"/>
        <w:tblLayout w:type="autofit"/>
        <w:tblCellMar>
          <w:top w:w="15" w:type="dxa"/>
          <w:left w:w="15" w:type="dxa"/>
          <w:bottom w:w="15" w:type="dxa"/>
          <w:right w:w="15" w:type="dxa"/>
        </w:tblCellMar>
      </w:tblPr>
      <w:tblGrid>
        <w:gridCol w:w="81"/>
        <w:gridCol w:w="4984"/>
        <w:gridCol w:w="81"/>
      </w:tblGrid>
      <w:tr>
        <w:tblPrEx>
          <w:tblCellMar>
            <w:top w:w="15" w:type="dxa"/>
            <w:left w:w="15" w:type="dxa"/>
            <w:bottom w:w="15" w:type="dxa"/>
            <w:right w:w="15" w:type="dxa"/>
          </w:tblCellMar>
        </w:tblPrEx>
        <w:trPr>
          <w:tblCellSpacing w:w="15" w:type="dxa"/>
        </w:trPr>
        <w:tc>
          <w:tcPr>
            <w:tcW w:w="0" w:type="auto"/>
            <w:tcBorders>
              <w:top w:val="nil"/>
              <w:left w:val="nil"/>
              <w:bottom w:val="nil"/>
              <w:right w:val="nil"/>
            </w:tcBorders>
          </w:tcPr>
          <w:p>
            <w:pPr>
              <w:widowControl/>
              <w:jc w:val="left"/>
              <w:rPr>
                <w:rFonts w:ascii="宋体" w:hAnsi="宋体" w:eastAsia="宋体" w:cs="宋体"/>
                <w:kern w:val="0"/>
                <w:sz w:val="24"/>
              </w:rPr>
            </w:pPr>
          </w:p>
        </w:tc>
        <w:tc>
          <w:tcPr>
            <w:tcW w:w="0" w:type="auto"/>
            <w:tcBorders>
              <w:top w:val="nil"/>
              <w:left w:val="nil"/>
              <w:bottom w:val="nil"/>
              <w:right w:val="nil"/>
            </w:tcBorders>
          </w:tcPr>
          <w:p>
            <w:pPr>
              <w:widowControl/>
              <w:jc w:val="left"/>
              <w:rPr>
                <w:rFonts w:ascii="微软雅黑" w:hAnsi="微软雅黑" w:eastAsia="微软雅黑" w:cs="宋体"/>
                <w:color w:val="000000"/>
                <w:kern w:val="0"/>
                <w:sz w:val="27"/>
                <w:szCs w:val="27"/>
              </w:rPr>
            </w:pPr>
            <w:r>
              <w:rPr>
                <w:rFonts w:ascii="微软雅黑" w:hAnsi="微软雅黑" w:eastAsia="微软雅黑" w:cs="宋体"/>
                <w:color w:val="000000"/>
                <w:kern w:val="0"/>
                <w:sz w:val="27"/>
                <w:szCs w:val="27"/>
              </w:rPr>
              <w:drawing>
                <wp:inline distT="0" distB="0" distL="0" distR="0">
                  <wp:extent cx="3126740" cy="1778000"/>
                  <wp:effectExtent l="0" t="0" r="0" b="0"/>
                  <wp:docPr id="4" name="图片 4" descr="http://58.246.65.10:8231/UploadFile/2020081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http://58.246.65.10:8231/UploadFile/2020081004.jp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a:xfrm>
                            <a:off x="0" y="0"/>
                            <a:ext cx="3130185" cy="1779909"/>
                          </a:xfrm>
                          <a:prstGeom prst="rect">
                            <a:avLst/>
                          </a:prstGeom>
                          <a:noFill/>
                          <a:ln>
                            <a:noFill/>
                          </a:ln>
                        </pic:spPr>
                      </pic:pic>
                    </a:graphicData>
                  </a:graphic>
                </wp:inline>
              </w:drawing>
            </w:r>
          </w:p>
        </w:tc>
        <w:tc>
          <w:tcPr>
            <w:tcW w:w="0" w:type="auto"/>
            <w:tcBorders>
              <w:top w:val="nil"/>
              <w:left w:val="nil"/>
              <w:bottom w:val="nil"/>
              <w:right w:val="nil"/>
            </w:tcBorders>
          </w:tcPr>
          <w:p>
            <w:pPr>
              <w:widowControl/>
              <w:jc w:val="left"/>
              <w:rPr>
                <w:rFonts w:ascii="微软雅黑" w:hAnsi="微软雅黑" w:eastAsia="微软雅黑" w:cs="宋体"/>
                <w:color w:val="000000"/>
                <w:kern w:val="0"/>
                <w:sz w:val="27"/>
                <w:szCs w:val="27"/>
              </w:rPr>
            </w:pPr>
          </w:p>
        </w:tc>
      </w:tr>
    </w:tbl>
    <w:p>
      <w:r>
        <w:t>8月7日，枫叶30X智行版上市，新车补贴后售价为9.58万元，享受国补1.62万元。</w:t>
      </w:r>
    </w:p>
    <w:p>
      <w:r>
        <w:rPr>
          <w:rFonts w:hint="eastAsia"/>
        </w:rPr>
        <w:t>外观方面，新车与现款车型基本保持一致。</w:t>
      </w:r>
    </w:p>
    <w:p>
      <w:r>
        <w:rPr>
          <w:rFonts w:hint="eastAsia"/>
        </w:rPr>
        <w:t>配置方面，新车配备定速巡航、</w:t>
      </w:r>
      <w:r>
        <w:t>7英寸液晶仪表以及真皮方向盘等。</w:t>
      </w:r>
    </w:p>
    <w:p>
      <w:r>
        <w:rPr>
          <w:rFonts w:hint="eastAsia"/>
        </w:rPr>
        <w:t>动力方面，新车搭载电动机，</w:t>
      </w:r>
      <w:r>
        <w:t>NEDC续航里程为306km。</w:t>
      </w:r>
    </w:p>
    <w:p>
      <w:pPr>
        <w:rPr>
          <w:rFonts w:cs="宋体"/>
          <w:b/>
          <w:bCs/>
          <w:i/>
          <w:iCs/>
        </w:rPr>
      </w:pPr>
      <w:r>
        <w:rPr>
          <w:rFonts w:hint="eastAsia" w:cs="宋体"/>
          <w:b/>
          <w:bCs/>
          <w:i/>
          <w:iCs/>
        </w:rPr>
        <w:t>分析：。</w:t>
      </w:r>
    </w:p>
    <w:p>
      <w:pPr>
        <w:pStyle w:val="17"/>
        <w:numPr>
          <w:ilvl w:val="0"/>
          <w:numId w:val="3"/>
        </w:numPr>
        <w:ind w:firstLineChars="0"/>
        <w:outlineLvl w:val="1"/>
        <w:rPr>
          <w:b/>
        </w:rPr>
      </w:pPr>
      <w:r>
        <w:rPr>
          <w:b/>
        </w:rPr>
        <w:t>几何C</w:t>
      </w:r>
    </w:p>
    <w:tbl>
      <w:tblPr>
        <w:tblStyle w:val="8"/>
        <w:tblW w:w="0" w:type="auto"/>
        <w:tblCellSpacing w:w="15" w:type="dxa"/>
        <w:tblInd w:w="0" w:type="dxa"/>
        <w:tblLayout w:type="autofit"/>
        <w:tblCellMar>
          <w:top w:w="15" w:type="dxa"/>
          <w:left w:w="15" w:type="dxa"/>
          <w:bottom w:w="15" w:type="dxa"/>
          <w:right w:w="15" w:type="dxa"/>
        </w:tblCellMar>
      </w:tblPr>
      <w:tblGrid>
        <w:gridCol w:w="81"/>
        <w:gridCol w:w="2790"/>
        <w:gridCol w:w="81"/>
      </w:tblGrid>
      <w:tr>
        <w:tblPrEx>
          <w:tblCellMar>
            <w:top w:w="15" w:type="dxa"/>
            <w:left w:w="15" w:type="dxa"/>
            <w:bottom w:w="15" w:type="dxa"/>
            <w:right w:w="15" w:type="dxa"/>
          </w:tblCellMar>
        </w:tblPrEx>
        <w:trPr>
          <w:tblCellSpacing w:w="15" w:type="dxa"/>
        </w:trPr>
        <w:tc>
          <w:tcPr>
            <w:tcW w:w="0" w:type="auto"/>
            <w:tcBorders>
              <w:top w:val="nil"/>
              <w:left w:val="nil"/>
              <w:bottom w:val="nil"/>
              <w:right w:val="nil"/>
            </w:tcBorders>
          </w:tcPr>
          <w:p>
            <w:pPr>
              <w:widowControl/>
              <w:jc w:val="left"/>
              <w:rPr>
                <w:rFonts w:ascii="宋体" w:hAnsi="宋体" w:eastAsia="宋体" w:cs="宋体"/>
                <w:kern w:val="0"/>
                <w:sz w:val="24"/>
              </w:rPr>
            </w:pPr>
          </w:p>
        </w:tc>
        <w:tc>
          <w:tcPr>
            <w:tcW w:w="0" w:type="auto"/>
            <w:tcBorders>
              <w:top w:val="nil"/>
              <w:left w:val="nil"/>
              <w:bottom w:val="nil"/>
              <w:right w:val="nil"/>
            </w:tcBorders>
          </w:tcPr>
          <w:p>
            <w:pPr>
              <w:widowControl/>
              <w:jc w:val="left"/>
              <w:rPr>
                <w:rFonts w:ascii="微软雅黑" w:hAnsi="微软雅黑" w:eastAsia="微软雅黑" w:cs="宋体"/>
                <w:color w:val="000000"/>
                <w:kern w:val="0"/>
                <w:sz w:val="27"/>
                <w:szCs w:val="27"/>
              </w:rPr>
            </w:pPr>
            <w:r>
              <w:rPr>
                <w:rFonts w:ascii="微软雅黑" w:hAnsi="微软雅黑" w:eastAsia="微软雅黑" w:cs="宋体"/>
                <w:color w:val="000000"/>
                <w:kern w:val="0"/>
                <w:sz w:val="27"/>
                <w:szCs w:val="27"/>
              </w:rPr>
              <w:drawing>
                <wp:inline distT="0" distB="0" distL="0" distR="0">
                  <wp:extent cx="1729105" cy="863600"/>
                  <wp:effectExtent l="0" t="0" r="4445" b="0"/>
                  <wp:docPr id="22" name="图片 22" descr="http://58.246.65.10:8231/UploadFile/2020081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http://58.246.65.10:8231/UploadFile/2020081001.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a:xfrm>
                            <a:off x="0" y="0"/>
                            <a:ext cx="1731073" cy="864543"/>
                          </a:xfrm>
                          <a:prstGeom prst="rect">
                            <a:avLst/>
                          </a:prstGeom>
                          <a:noFill/>
                          <a:ln>
                            <a:noFill/>
                          </a:ln>
                        </pic:spPr>
                      </pic:pic>
                    </a:graphicData>
                  </a:graphic>
                </wp:inline>
              </w:drawing>
            </w:r>
          </w:p>
        </w:tc>
        <w:tc>
          <w:tcPr>
            <w:tcW w:w="0" w:type="auto"/>
            <w:tcBorders>
              <w:top w:val="nil"/>
              <w:left w:val="nil"/>
              <w:bottom w:val="nil"/>
              <w:right w:val="nil"/>
            </w:tcBorders>
          </w:tcPr>
          <w:p>
            <w:pPr>
              <w:widowControl/>
              <w:jc w:val="left"/>
              <w:rPr>
                <w:rFonts w:ascii="微软雅黑" w:hAnsi="微软雅黑" w:eastAsia="微软雅黑" w:cs="宋体"/>
                <w:color w:val="000000"/>
                <w:kern w:val="0"/>
                <w:sz w:val="27"/>
                <w:szCs w:val="27"/>
              </w:rPr>
            </w:pPr>
          </w:p>
        </w:tc>
      </w:tr>
    </w:tbl>
    <w:p>
      <w:r>
        <w:t>8月7日，几何C上市，新车共推5款，补贴后售价区间为12.98万-18.28万元，享受国补2.25万元。</w:t>
      </w:r>
    </w:p>
    <w:p>
      <w:r>
        <w:rPr>
          <w:rFonts w:hint="eastAsia"/>
        </w:rPr>
        <w:t>外观方面，新车采用“多维流动生命体”的设计理念，头灯采用“光棱之刃”设计。</w:t>
      </w:r>
    </w:p>
    <w:p>
      <w:r>
        <w:rPr>
          <w:rFonts w:hint="eastAsia"/>
        </w:rPr>
        <w:t>内饰方面，新车采用较多不规则形状设计，旋钮式的挡把和蜂窝状的触摸按键区域。</w:t>
      </w:r>
    </w:p>
    <w:p>
      <w:r>
        <w:rPr>
          <w:rFonts w:hint="eastAsia"/>
        </w:rPr>
        <w:t>配置方面，新车配备</w:t>
      </w:r>
      <w:r>
        <w:t>GKUI吉客智能生态系统、车规级CN95防护系统。</w:t>
      </w:r>
    </w:p>
    <w:p>
      <w:r>
        <w:rPr>
          <w:rFonts w:hint="eastAsia"/>
        </w:rPr>
        <w:t>动力方面，新车搭载电动机，</w:t>
      </w:r>
      <w:r>
        <w:t>NEDC续航为400km和550km。</w:t>
      </w:r>
    </w:p>
    <w:p>
      <w:pPr>
        <w:rPr>
          <w:rFonts w:cs="宋体"/>
          <w:b/>
          <w:bCs/>
          <w:i/>
          <w:iCs/>
        </w:rPr>
      </w:pPr>
      <w:r>
        <w:rPr>
          <w:rFonts w:hint="eastAsia" w:cs="宋体"/>
          <w:b/>
          <w:bCs/>
          <w:i/>
          <w:iCs/>
        </w:rPr>
        <w:t>分析：。</w:t>
      </w:r>
    </w:p>
    <w:p>
      <w:pPr>
        <w:pStyle w:val="17"/>
        <w:numPr>
          <w:ilvl w:val="0"/>
          <w:numId w:val="3"/>
        </w:numPr>
        <w:ind w:firstLineChars="0"/>
        <w:outlineLvl w:val="1"/>
        <w:rPr>
          <w:b/>
        </w:rPr>
      </w:pPr>
      <w:r>
        <w:rPr>
          <w:b/>
        </w:rPr>
        <w:t>领克03+冠军定制版</w:t>
      </w:r>
    </w:p>
    <w:tbl>
      <w:tblPr>
        <w:tblStyle w:val="8"/>
        <w:tblW w:w="0" w:type="auto"/>
        <w:tblCellSpacing w:w="15" w:type="dxa"/>
        <w:tblInd w:w="0" w:type="dxa"/>
        <w:tblLayout w:type="autofit"/>
        <w:tblCellMar>
          <w:top w:w="15" w:type="dxa"/>
          <w:left w:w="15" w:type="dxa"/>
          <w:bottom w:w="15" w:type="dxa"/>
          <w:right w:w="15" w:type="dxa"/>
        </w:tblCellMar>
      </w:tblPr>
      <w:tblGrid>
        <w:gridCol w:w="81"/>
        <w:gridCol w:w="4410"/>
        <w:gridCol w:w="81"/>
      </w:tblGrid>
      <w:tr>
        <w:tblPrEx>
          <w:tblCellMar>
            <w:top w:w="15" w:type="dxa"/>
            <w:left w:w="15" w:type="dxa"/>
            <w:bottom w:w="15" w:type="dxa"/>
            <w:right w:w="15" w:type="dxa"/>
          </w:tblCellMar>
        </w:tblPrEx>
        <w:trPr>
          <w:tblCellSpacing w:w="15" w:type="dxa"/>
        </w:trPr>
        <w:tc>
          <w:tcPr>
            <w:tcW w:w="0" w:type="auto"/>
            <w:tcBorders>
              <w:top w:val="nil"/>
              <w:left w:val="nil"/>
              <w:bottom w:val="nil"/>
              <w:right w:val="nil"/>
            </w:tcBorders>
          </w:tcPr>
          <w:p>
            <w:pPr>
              <w:widowControl/>
              <w:jc w:val="left"/>
              <w:rPr>
                <w:rFonts w:ascii="宋体" w:hAnsi="宋体" w:eastAsia="宋体" w:cs="宋体"/>
                <w:kern w:val="0"/>
                <w:sz w:val="24"/>
              </w:rPr>
            </w:pPr>
          </w:p>
        </w:tc>
        <w:tc>
          <w:tcPr>
            <w:tcW w:w="0" w:type="auto"/>
            <w:tcBorders>
              <w:top w:val="nil"/>
              <w:left w:val="nil"/>
              <w:bottom w:val="nil"/>
              <w:right w:val="nil"/>
            </w:tcBorders>
          </w:tcPr>
          <w:p>
            <w:pPr>
              <w:widowControl/>
              <w:jc w:val="left"/>
              <w:rPr>
                <w:rFonts w:ascii="微软雅黑" w:hAnsi="微软雅黑" w:eastAsia="微软雅黑" w:cs="宋体"/>
                <w:color w:val="000000"/>
                <w:kern w:val="0"/>
                <w:sz w:val="27"/>
                <w:szCs w:val="27"/>
              </w:rPr>
            </w:pPr>
            <w:r>
              <w:rPr>
                <w:rFonts w:ascii="微软雅黑" w:hAnsi="微软雅黑" w:eastAsia="微软雅黑" w:cs="宋体"/>
                <w:color w:val="000000"/>
                <w:kern w:val="0"/>
                <w:sz w:val="27"/>
                <w:szCs w:val="27"/>
              </w:rPr>
              <w:drawing>
                <wp:inline distT="0" distB="0" distL="0" distR="0">
                  <wp:extent cx="2759075" cy="1435100"/>
                  <wp:effectExtent l="0" t="0" r="3175" b="0"/>
                  <wp:docPr id="10" name="图片 10" descr="http://58.246.65.10:8231/UploadFile/20200812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http://58.246.65.10:8231/UploadFile/2020081203.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a:xfrm>
                            <a:off x="0" y="0"/>
                            <a:ext cx="2761983" cy="1436362"/>
                          </a:xfrm>
                          <a:prstGeom prst="rect">
                            <a:avLst/>
                          </a:prstGeom>
                          <a:noFill/>
                          <a:ln>
                            <a:noFill/>
                          </a:ln>
                        </pic:spPr>
                      </pic:pic>
                    </a:graphicData>
                  </a:graphic>
                </wp:inline>
              </w:drawing>
            </w:r>
          </w:p>
        </w:tc>
        <w:tc>
          <w:tcPr>
            <w:tcW w:w="0" w:type="auto"/>
            <w:tcBorders>
              <w:top w:val="nil"/>
              <w:left w:val="nil"/>
              <w:bottom w:val="nil"/>
              <w:right w:val="nil"/>
            </w:tcBorders>
          </w:tcPr>
          <w:p>
            <w:pPr>
              <w:widowControl/>
              <w:jc w:val="left"/>
              <w:rPr>
                <w:rFonts w:ascii="微软雅黑" w:hAnsi="微软雅黑" w:eastAsia="微软雅黑" w:cs="宋体"/>
                <w:color w:val="000000"/>
                <w:kern w:val="0"/>
                <w:sz w:val="27"/>
                <w:szCs w:val="27"/>
              </w:rPr>
            </w:pPr>
          </w:p>
        </w:tc>
      </w:tr>
    </w:tbl>
    <w:p>
      <w:r>
        <w:t>8月10日，新款领克03+冠军版上市，新车售价为24.88万元。</w:t>
      </w:r>
    </w:p>
    <w:p>
      <w:r>
        <w:rPr>
          <w:rFonts w:hint="eastAsia"/>
        </w:rPr>
        <w:t>外观方面，新车采用空气动力学套件。</w:t>
      </w:r>
    </w:p>
    <w:p>
      <w:r>
        <w:rPr>
          <w:rFonts w:hint="eastAsia"/>
        </w:rPr>
        <w:t>内饰方面，新车驾驶座椅上增加激光雕刻的“</w:t>
      </w:r>
      <w:r>
        <w:t>03+Champion”标识。</w:t>
      </w:r>
    </w:p>
    <w:p>
      <w:r>
        <w:rPr>
          <w:rFonts w:hint="eastAsia"/>
        </w:rPr>
        <w:t>配置方面，新车优化语音助手功能，增加主流应用。</w:t>
      </w:r>
    </w:p>
    <w:p>
      <w:r>
        <w:rPr>
          <w:rFonts w:hint="eastAsia"/>
        </w:rPr>
        <w:t>动力方面，新车搭载</w:t>
      </w:r>
      <w:r>
        <w:t>2.0T发动机，匹配8TIP变速箱。</w:t>
      </w:r>
    </w:p>
    <w:p>
      <w:pPr>
        <w:rPr>
          <w:rFonts w:cs="宋体"/>
          <w:b/>
          <w:bCs/>
          <w:i/>
          <w:iCs/>
        </w:rPr>
      </w:pPr>
      <w:r>
        <w:rPr>
          <w:rFonts w:hint="eastAsia" w:cs="宋体"/>
          <w:b/>
          <w:bCs/>
          <w:i/>
          <w:iCs/>
        </w:rPr>
        <w:t>分析：。</w:t>
      </w:r>
    </w:p>
    <w:p>
      <w:pPr>
        <w:pStyle w:val="17"/>
        <w:numPr>
          <w:ilvl w:val="0"/>
          <w:numId w:val="3"/>
        </w:numPr>
        <w:ind w:firstLineChars="0"/>
        <w:outlineLvl w:val="1"/>
        <w:rPr>
          <w:b/>
        </w:rPr>
      </w:pPr>
      <w:r>
        <w:rPr>
          <w:b/>
        </w:rPr>
        <w:t>名爵ZS180DVVT自动Up版</w:t>
      </w:r>
    </w:p>
    <w:tbl>
      <w:tblPr>
        <w:tblStyle w:val="8"/>
        <w:tblW w:w="0" w:type="auto"/>
        <w:tblCellSpacing w:w="15" w:type="dxa"/>
        <w:tblInd w:w="0" w:type="dxa"/>
        <w:tblLayout w:type="autofit"/>
        <w:tblCellMar>
          <w:top w:w="15" w:type="dxa"/>
          <w:left w:w="15" w:type="dxa"/>
          <w:bottom w:w="15" w:type="dxa"/>
          <w:right w:w="15" w:type="dxa"/>
        </w:tblCellMar>
      </w:tblPr>
      <w:tblGrid>
        <w:gridCol w:w="81"/>
        <w:gridCol w:w="4897"/>
        <w:gridCol w:w="81"/>
      </w:tblGrid>
      <w:tr>
        <w:tblPrEx>
          <w:tblCellMar>
            <w:top w:w="15" w:type="dxa"/>
            <w:left w:w="15" w:type="dxa"/>
            <w:bottom w:w="15" w:type="dxa"/>
            <w:right w:w="15" w:type="dxa"/>
          </w:tblCellMar>
        </w:tblPrEx>
        <w:trPr>
          <w:tblCellSpacing w:w="15" w:type="dxa"/>
        </w:trPr>
        <w:tc>
          <w:tcPr>
            <w:tcW w:w="0" w:type="auto"/>
            <w:tcBorders>
              <w:top w:val="nil"/>
              <w:left w:val="nil"/>
              <w:bottom w:val="nil"/>
              <w:right w:val="nil"/>
            </w:tcBorders>
          </w:tcPr>
          <w:p>
            <w:pPr>
              <w:widowControl/>
              <w:jc w:val="left"/>
              <w:rPr>
                <w:rFonts w:ascii="宋体" w:hAnsi="宋体" w:eastAsia="宋体" w:cs="宋体"/>
                <w:kern w:val="0"/>
                <w:sz w:val="24"/>
              </w:rPr>
            </w:pPr>
          </w:p>
        </w:tc>
        <w:tc>
          <w:tcPr>
            <w:tcW w:w="0" w:type="auto"/>
            <w:tcBorders>
              <w:top w:val="nil"/>
              <w:left w:val="nil"/>
              <w:bottom w:val="nil"/>
              <w:right w:val="nil"/>
            </w:tcBorders>
          </w:tcPr>
          <w:p>
            <w:pPr>
              <w:widowControl/>
              <w:jc w:val="left"/>
              <w:rPr>
                <w:rFonts w:ascii="微软雅黑" w:hAnsi="微软雅黑" w:eastAsia="微软雅黑" w:cs="宋体"/>
                <w:color w:val="000000"/>
                <w:kern w:val="0"/>
                <w:sz w:val="27"/>
                <w:szCs w:val="27"/>
              </w:rPr>
            </w:pPr>
            <w:r>
              <w:rPr>
                <w:rFonts w:ascii="微软雅黑" w:hAnsi="微软雅黑" w:eastAsia="微软雅黑" w:cs="宋体"/>
                <w:color w:val="000000"/>
                <w:kern w:val="0"/>
                <w:sz w:val="27"/>
                <w:szCs w:val="27"/>
              </w:rPr>
              <w:drawing>
                <wp:inline distT="0" distB="0" distL="0" distR="0">
                  <wp:extent cx="3071495" cy="1581150"/>
                  <wp:effectExtent l="0" t="0" r="0" b="0"/>
                  <wp:docPr id="35" name="图片 35" descr="http://58.246.65.10:8231/UploadFile/2020081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descr="http://58.246.65.10:8231/UploadFile/2020081003.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3073402" cy="1582089"/>
                          </a:xfrm>
                          <a:prstGeom prst="rect">
                            <a:avLst/>
                          </a:prstGeom>
                          <a:noFill/>
                          <a:ln>
                            <a:noFill/>
                          </a:ln>
                        </pic:spPr>
                      </pic:pic>
                    </a:graphicData>
                  </a:graphic>
                </wp:inline>
              </w:drawing>
            </w:r>
          </w:p>
        </w:tc>
        <w:tc>
          <w:tcPr>
            <w:tcW w:w="0" w:type="auto"/>
            <w:tcBorders>
              <w:top w:val="nil"/>
              <w:left w:val="nil"/>
              <w:bottom w:val="nil"/>
              <w:right w:val="nil"/>
            </w:tcBorders>
          </w:tcPr>
          <w:p>
            <w:pPr>
              <w:widowControl/>
              <w:jc w:val="left"/>
              <w:rPr>
                <w:rFonts w:ascii="微软雅黑" w:hAnsi="微软雅黑" w:eastAsia="微软雅黑" w:cs="宋体"/>
                <w:color w:val="000000"/>
                <w:kern w:val="0"/>
                <w:sz w:val="27"/>
                <w:szCs w:val="27"/>
              </w:rPr>
            </w:pPr>
          </w:p>
        </w:tc>
      </w:tr>
    </w:tbl>
    <w:p>
      <w:r>
        <w:t>8月7日，名爵ZS180DVVT自动Up版上市，新车售价为9.18万元。</w:t>
      </w:r>
    </w:p>
    <w:p>
      <w:r>
        <w:rPr>
          <w:rFonts w:hint="eastAsia"/>
        </w:rPr>
        <w:t>外观方面，新车与现款车型基本保持一致。</w:t>
      </w:r>
    </w:p>
    <w:p>
      <w:r>
        <w:rPr>
          <w:rFonts w:hint="eastAsia"/>
        </w:rPr>
        <w:t>配置方面，新车配备一键启动、无钥匙进入</w:t>
      </w:r>
      <w:r>
        <w:t>/启动、定速巡航、倒车影像等。</w:t>
      </w:r>
    </w:p>
    <w:p>
      <w:r>
        <w:rPr>
          <w:rFonts w:hint="eastAsia"/>
        </w:rPr>
        <w:t>动力方面，新车搭载</w:t>
      </w:r>
      <w:r>
        <w:t>1.5L发动机，匹配CVT变速箱。</w:t>
      </w:r>
    </w:p>
    <w:p>
      <w:pPr>
        <w:rPr>
          <w:rFonts w:cs="宋体"/>
          <w:b/>
          <w:bCs/>
          <w:i/>
          <w:iCs/>
        </w:rPr>
      </w:pPr>
      <w:r>
        <w:rPr>
          <w:rFonts w:hint="eastAsia" w:cs="宋体"/>
          <w:b/>
          <w:bCs/>
          <w:i/>
          <w:iCs/>
        </w:rPr>
        <w:t>分析：。</w:t>
      </w:r>
    </w:p>
    <w:p>
      <w:pPr>
        <w:pStyle w:val="17"/>
        <w:numPr>
          <w:ilvl w:val="0"/>
          <w:numId w:val="3"/>
        </w:numPr>
        <w:ind w:firstLineChars="0"/>
        <w:outlineLvl w:val="1"/>
        <w:rPr>
          <w:b/>
        </w:rPr>
      </w:pPr>
      <w:r>
        <w:rPr>
          <w:b/>
        </w:rPr>
        <w:t>日产新款奇骏</w:t>
      </w:r>
    </w:p>
    <w:tbl>
      <w:tblPr>
        <w:tblStyle w:val="8"/>
        <w:tblW w:w="0" w:type="auto"/>
        <w:tblCellSpacing w:w="15" w:type="dxa"/>
        <w:tblInd w:w="0" w:type="dxa"/>
        <w:tblLayout w:type="autofit"/>
        <w:tblCellMar>
          <w:top w:w="15" w:type="dxa"/>
          <w:left w:w="15" w:type="dxa"/>
          <w:bottom w:w="15" w:type="dxa"/>
          <w:right w:w="15" w:type="dxa"/>
        </w:tblCellMar>
      </w:tblPr>
      <w:tblGrid>
        <w:gridCol w:w="81"/>
        <w:gridCol w:w="3930"/>
        <w:gridCol w:w="81"/>
      </w:tblGrid>
      <w:tr>
        <w:tblPrEx>
          <w:tblCellMar>
            <w:top w:w="15" w:type="dxa"/>
            <w:left w:w="15" w:type="dxa"/>
            <w:bottom w:w="15" w:type="dxa"/>
            <w:right w:w="15" w:type="dxa"/>
          </w:tblCellMar>
        </w:tblPrEx>
        <w:trPr>
          <w:tblCellSpacing w:w="15" w:type="dxa"/>
        </w:trPr>
        <w:tc>
          <w:tcPr>
            <w:tcW w:w="0" w:type="auto"/>
            <w:tcBorders>
              <w:top w:val="nil"/>
              <w:left w:val="nil"/>
              <w:bottom w:val="nil"/>
              <w:right w:val="nil"/>
            </w:tcBorders>
          </w:tcPr>
          <w:p>
            <w:pPr>
              <w:widowControl/>
              <w:jc w:val="left"/>
              <w:rPr>
                <w:rFonts w:ascii="宋体" w:hAnsi="宋体" w:eastAsia="宋体" w:cs="宋体"/>
                <w:kern w:val="0"/>
                <w:sz w:val="24"/>
              </w:rPr>
            </w:pPr>
          </w:p>
        </w:tc>
        <w:tc>
          <w:tcPr>
            <w:tcW w:w="0" w:type="auto"/>
            <w:tcBorders>
              <w:top w:val="nil"/>
              <w:left w:val="nil"/>
              <w:bottom w:val="nil"/>
              <w:right w:val="nil"/>
            </w:tcBorders>
          </w:tcPr>
          <w:p>
            <w:pPr>
              <w:widowControl/>
              <w:jc w:val="left"/>
              <w:rPr>
                <w:rFonts w:ascii="微软雅黑" w:hAnsi="微软雅黑" w:eastAsia="微软雅黑" w:cs="宋体"/>
                <w:color w:val="000000"/>
                <w:kern w:val="0"/>
                <w:sz w:val="27"/>
                <w:szCs w:val="27"/>
              </w:rPr>
            </w:pPr>
            <w:r>
              <w:rPr>
                <w:rFonts w:ascii="微软雅黑" w:hAnsi="微软雅黑" w:eastAsia="微软雅黑" w:cs="宋体"/>
                <w:color w:val="000000"/>
                <w:kern w:val="0"/>
                <w:sz w:val="27"/>
                <w:szCs w:val="27"/>
              </w:rPr>
              <w:drawing>
                <wp:inline distT="0" distB="0" distL="0" distR="0">
                  <wp:extent cx="2451735" cy="1346200"/>
                  <wp:effectExtent l="0" t="0" r="5715" b="6350"/>
                  <wp:docPr id="11" name="图片 11" descr="http://58.246.65.10:8231/UploadFile/20200813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http://58.246.65.10:8231/UploadFile/2020081301.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2453786" cy="1347034"/>
                          </a:xfrm>
                          <a:prstGeom prst="rect">
                            <a:avLst/>
                          </a:prstGeom>
                          <a:noFill/>
                          <a:ln>
                            <a:noFill/>
                          </a:ln>
                        </pic:spPr>
                      </pic:pic>
                    </a:graphicData>
                  </a:graphic>
                </wp:inline>
              </w:drawing>
            </w:r>
          </w:p>
        </w:tc>
        <w:tc>
          <w:tcPr>
            <w:tcW w:w="0" w:type="auto"/>
            <w:tcBorders>
              <w:top w:val="nil"/>
              <w:left w:val="nil"/>
              <w:bottom w:val="nil"/>
              <w:right w:val="nil"/>
            </w:tcBorders>
          </w:tcPr>
          <w:p>
            <w:pPr>
              <w:widowControl/>
              <w:jc w:val="left"/>
              <w:rPr>
                <w:rFonts w:ascii="微软雅黑" w:hAnsi="微软雅黑" w:eastAsia="微软雅黑" w:cs="宋体"/>
                <w:color w:val="000000"/>
                <w:kern w:val="0"/>
                <w:sz w:val="27"/>
                <w:szCs w:val="27"/>
              </w:rPr>
            </w:pPr>
          </w:p>
        </w:tc>
      </w:tr>
    </w:tbl>
    <w:p>
      <w:r>
        <w:t>8月13日，日产新款奇骏上市，新车共推8款，售价区间为18.88万-27.33万元。</w:t>
      </w:r>
    </w:p>
    <w:p>
      <w:r>
        <w:rPr>
          <w:rFonts w:hint="eastAsia"/>
        </w:rPr>
        <w:t>外观方面，新车与老款车型基本保持一致。</w:t>
      </w:r>
    </w:p>
    <w:p>
      <w:r>
        <w:rPr>
          <w:rFonts w:hint="eastAsia"/>
        </w:rPr>
        <w:t>配置方面，新车升级了</w:t>
      </w:r>
      <w:r>
        <w:t>NissanConnect超智联车联网系统，增加行车记录仪等。</w:t>
      </w:r>
    </w:p>
    <w:p>
      <w:r>
        <w:rPr>
          <w:rFonts w:hint="eastAsia"/>
        </w:rPr>
        <w:t>动力方面，新车搭载</w:t>
      </w:r>
      <w:r>
        <w:t>2.0L和2.5L发动机，匹配CVT变速箱。</w:t>
      </w:r>
    </w:p>
    <w:p>
      <w:pPr>
        <w:rPr>
          <w:rFonts w:cs="宋体"/>
          <w:b/>
          <w:bCs/>
          <w:i/>
          <w:iCs/>
        </w:rPr>
      </w:pPr>
      <w:r>
        <w:rPr>
          <w:rFonts w:hint="eastAsia" w:cs="宋体"/>
          <w:b/>
          <w:bCs/>
          <w:i/>
          <w:iCs/>
        </w:rPr>
        <w:t>分析：。</w:t>
      </w:r>
    </w:p>
    <w:p>
      <w:pPr>
        <w:pStyle w:val="17"/>
        <w:numPr>
          <w:ilvl w:val="0"/>
          <w:numId w:val="3"/>
        </w:numPr>
        <w:ind w:firstLineChars="0"/>
        <w:outlineLvl w:val="1"/>
        <w:rPr>
          <w:b/>
        </w:rPr>
      </w:pPr>
      <w:r>
        <w:rPr>
          <w:b/>
        </w:rPr>
        <w:t>荣威RER6</w:t>
      </w:r>
    </w:p>
    <w:tbl>
      <w:tblPr>
        <w:tblStyle w:val="8"/>
        <w:tblW w:w="0" w:type="auto"/>
        <w:tblCellSpacing w:w="15" w:type="dxa"/>
        <w:tblInd w:w="0" w:type="dxa"/>
        <w:tblLayout w:type="autofit"/>
        <w:tblCellMar>
          <w:top w:w="15" w:type="dxa"/>
          <w:left w:w="15" w:type="dxa"/>
          <w:bottom w:w="15" w:type="dxa"/>
          <w:right w:w="15" w:type="dxa"/>
        </w:tblCellMar>
      </w:tblPr>
      <w:tblGrid>
        <w:gridCol w:w="81"/>
        <w:gridCol w:w="4170"/>
        <w:gridCol w:w="81"/>
      </w:tblGrid>
      <w:tr>
        <w:tblPrEx>
          <w:tblCellMar>
            <w:top w:w="15" w:type="dxa"/>
            <w:left w:w="15" w:type="dxa"/>
            <w:bottom w:w="15" w:type="dxa"/>
            <w:right w:w="15" w:type="dxa"/>
          </w:tblCellMar>
        </w:tblPrEx>
        <w:trPr>
          <w:tblCellSpacing w:w="15" w:type="dxa"/>
        </w:trPr>
        <w:tc>
          <w:tcPr>
            <w:tcW w:w="0" w:type="auto"/>
            <w:tcBorders>
              <w:top w:val="nil"/>
              <w:left w:val="nil"/>
              <w:bottom w:val="nil"/>
              <w:right w:val="nil"/>
            </w:tcBorders>
          </w:tcPr>
          <w:p>
            <w:pPr>
              <w:widowControl/>
              <w:jc w:val="left"/>
              <w:rPr>
                <w:rFonts w:ascii="宋体" w:hAnsi="宋体" w:eastAsia="宋体" w:cs="宋体"/>
                <w:kern w:val="0"/>
                <w:sz w:val="24"/>
              </w:rPr>
            </w:pPr>
          </w:p>
        </w:tc>
        <w:tc>
          <w:tcPr>
            <w:tcW w:w="0" w:type="auto"/>
            <w:tcBorders>
              <w:top w:val="nil"/>
              <w:left w:val="nil"/>
              <w:bottom w:val="nil"/>
              <w:right w:val="nil"/>
            </w:tcBorders>
          </w:tcPr>
          <w:p>
            <w:pPr>
              <w:widowControl/>
              <w:jc w:val="left"/>
              <w:rPr>
                <w:rFonts w:ascii="微软雅黑" w:hAnsi="微软雅黑" w:eastAsia="微软雅黑" w:cs="宋体"/>
                <w:color w:val="000000"/>
                <w:kern w:val="0"/>
                <w:sz w:val="27"/>
                <w:szCs w:val="27"/>
              </w:rPr>
            </w:pPr>
            <w:r>
              <w:rPr>
                <w:rFonts w:ascii="微软雅黑" w:hAnsi="微软雅黑" w:eastAsia="微软雅黑" w:cs="宋体"/>
                <w:color w:val="000000"/>
                <w:kern w:val="0"/>
                <w:sz w:val="27"/>
                <w:szCs w:val="27"/>
              </w:rPr>
              <w:drawing>
                <wp:inline distT="0" distB="0" distL="0" distR="0">
                  <wp:extent cx="2603500" cy="1263015"/>
                  <wp:effectExtent l="0" t="0" r="6350" b="0"/>
                  <wp:docPr id="21" name="图片 21" descr="http://58.246.65.10:8231/UploadFile/20200814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http://58.246.65.10:8231/UploadFile/2020081401.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2605546" cy="1264501"/>
                          </a:xfrm>
                          <a:prstGeom prst="rect">
                            <a:avLst/>
                          </a:prstGeom>
                          <a:noFill/>
                          <a:ln>
                            <a:noFill/>
                          </a:ln>
                        </pic:spPr>
                      </pic:pic>
                    </a:graphicData>
                  </a:graphic>
                </wp:inline>
              </w:drawing>
            </w:r>
          </w:p>
        </w:tc>
        <w:tc>
          <w:tcPr>
            <w:tcW w:w="0" w:type="auto"/>
            <w:tcBorders>
              <w:top w:val="nil"/>
              <w:left w:val="nil"/>
              <w:bottom w:val="nil"/>
              <w:right w:val="nil"/>
            </w:tcBorders>
          </w:tcPr>
          <w:p>
            <w:pPr>
              <w:widowControl/>
              <w:jc w:val="left"/>
              <w:rPr>
                <w:rFonts w:ascii="微软雅黑" w:hAnsi="微软雅黑" w:eastAsia="微软雅黑" w:cs="宋体"/>
                <w:color w:val="000000"/>
                <w:kern w:val="0"/>
                <w:sz w:val="27"/>
                <w:szCs w:val="27"/>
              </w:rPr>
            </w:pPr>
          </w:p>
        </w:tc>
      </w:tr>
    </w:tbl>
    <w:p>
      <w:r>
        <w:t>8月13日，荣威RER6上市，新车共推3款，补贴后售价区间为16.28万-20.08万元，享受国补2.25万元。</w:t>
      </w:r>
    </w:p>
    <w:p>
      <w:r>
        <w:rPr>
          <w:rFonts w:hint="eastAsia"/>
        </w:rPr>
        <w:t>外观方面，新车采用“集智设计”的上汽全新智能电动设计理念，封闭式格栅设计，搭配发动机舱盖上隆起的多条筋线，</w:t>
      </w:r>
      <w:r>
        <w:t>Y字形前大灯。</w:t>
      </w:r>
    </w:p>
    <w:p>
      <w:r>
        <w:rPr>
          <w:rFonts w:hint="eastAsia"/>
        </w:rPr>
        <w:t>内饰方面，新车采用环抱式驾舱设计侧，搭配中控台简洁的线条以及双色内饰色调。</w:t>
      </w:r>
    </w:p>
    <w:p>
      <w:r>
        <w:rPr>
          <w:rFonts w:hint="eastAsia"/>
        </w:rPr>
        <w:t>配置方面，新车配备全新的互联网汽车智能系统</w:t>
      </w:r>
      <w:r>
        <w:t>3.0-Pro。</w:t>
      </w:r>
    </w:p>
    <w:p>
      <w:r>
        <w:rPr>
          <w:rFonts w:hint="eastAsia"/>
        </w:rPr>
        <w:t>动力方面，新车搭载电动机，</w:t>
      </w:r>
      <w:r>
        <w:t>NEDC续航里程达620km。</w:t>
      </w:r>
    </w:p>
    <w:p>
      <w:pPr>
        <w:rPr>
          <w:rFonts w:cs="宋体"/>
          <w:b/>
          <w:bCs/>
          <w:i/>
          <w:iCs/>
        </w:rPr>
      </w:pPr>
      <w:r>
        <w:rPr>
          <w:rFonts w:hint="eastAsia" w:cs="宋体"/>
          <w:b/>
          <w:bCs/>
          <w:i/>
          <w:iCs/>
        </w:rPr>
        <w:t>分析：。</w:t>
      </w:r>
    </w:p>
    <w:p>
      <w:pPr>
        <w:pStyle w:val="17"/>
        <w:numPr>
          <w:ilvl w:val="0"/>
          <w:numId w:val="3"/>
        </w:numPr>
        <w:ind w:firstLineChars="0"/>
        <w:outlineLvl w:val="1"/>
        <w:rPr>
          <w:b/>
        </w:rPr>
      </w:pPr>
      <w:r>
        <w:rPr>
          <w:b/>
        </w:rPr>
        <w:t>新宝骏RC-5/RC-5W</w:t>
      </w:r>
    </w:p>
    <w:tbl>
      <w:tblPr>
        <w:tblStyle w:val="8"/>
        <w:tblW w:w="0" w:type="auto"/>
        <w:tblCellSpacing w:w="15" w:type="dxa"/>
        <w:tblInd w:w="0" w:type="dxa"/>
        <w:tblLayout w:type="autofit"/>
        <w:tblCellMar>
          <w:top w:w="15" w:type="dxa"/>
          <w:left w:w="15" w:type="dxa"/>
          <w:bottom w:w="15" w:type="dxa"/>
          <w:right w:w="15" w:type="dxa"/>
        </w:tblCellMar>
      </w:tblPr>
      <w:tblGrid>
        <w:gridCol w:w="81"/>
        <w:gridCol w:w="5260"/>
        <w:gridCol w:w="81"/>
      </w:tblGrid>
      <w:tr>
        <w:tblPrEx>
          <w:tblCellMar>
            <w:top w:w="15" w:type="dxa"/>
            <w:left w:w="15" w:type="dxa"/>
            <w:bottom w:w="15" w:type="dxa"/>
            <w:right w:w="15" w:type="dxa"/>
          </w:tblCellMar>
        </w:tblPrEx>
        <w:trPr>
          <w:tblCellSpacing w:w="15" w:type="dxa"/>
        </w:trPr>
        <w:tc>
          <w:tcPr>
            <w:tcW w:w="0" w:type="auto"/>
            <w:tcBorders>
              <w:top w:val="nil"/>
              <w:left w:val="nil"/>
              <w:bottom w:val="nil"/>
              <w:right w:val="nil"/>
            </w:tcBorders>
          </w:tcPr>
          <w:p>
            <w:pPr>
              <w:widowControl/>
              <w:jc w:val="left"/>
              <w:rPr>
                <w:rFonts w:ascii="宋体" w:hAnsi="宋体" w:eastAsia="宋体" w:cs="宋体"/>
                <w:kern w:val="0"/>
                <w:sz w:val="24"/>
              </w:rPr>
            </w:pPr>
          </w:p>
        </w:tc>
        <w:tc>
          <w:tcPr>
            <w:tcW w:w="0" w:type="auto"/>
            <w:tcBorders>
              <w:top w:val="nil"/>
              <w:left w:val="nil"/>
              <w:bottom w:val="nil"/>
              <w:right w:val="nil"/>
            </w:tcBorders>
          </w:tcPr>
          <w:p>
            <w:pPr>
              <w:widowControl/>
              <w:jc w:val="left"/>
              <w:rPr>
                <w:rFonts w:ascii="微软雅黑" w:hAnsi="微软雅黑" w:eastAsia="微软雅黑" w:cs="宋体"/>
                <w:color w:val="000000"/>
                <w:kern w:val="0"/>
                <w:sz w:val="27"/>
                <w:szCs w:val="27"/>
              </w:rPr>
            </w:pPr>
            <w:r>
              <w:rPr>
                <w:rFonts w:ascii="微软雅黑" w:hAnsi="微软雅黑" w:eastAsia="微软雅黑" w:cs="宋体"/>
                <w:color w:val="000000"/>
                <w:kern w:val="0"/>
                <w:sz w:val="27"/>
                <w:szCs w:val="27"/>
              </w:rPr>
              <w:drawing>
                <wp:inline distT="0" distB="0" distL="0" distR="0">
                  <wp:extent cx="3302000" cy="1816100"/>
                  <wp:effectExtent l="0" t="0" r="0" b="0"/>
                  <wp:docPr id="33" name="图片 33" descr="http://58.246.65.10:8231/UploadFile/2020081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descr="http://58.246.65.10:8231/UploadFile/2020081002.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3304270" cy="1817150"/>
                          </a:xfrm>
                          <a:prstGeom prst="rect">
                            <a:avLst/>
                          </a:prstGeom>
                          <a:noFill/>
                          <a:ln>
                            <a:noFill/>
                          </a:ln>
                        </pic:spPr>
                      </pic:pic>
                    </a:graphicData>
                  </a:graphic>
                </wp:inline>
              </w:drawing>
            </w:r>
          </w:p>
        </w:tc>
        <w:tc>
          <w:tcPr>
            <w:tcW w:w="0" w:type="auto"/>
            <w:tcBorders>
              <w:top w:val="nil"/>
              <w:left w:val="nil"/>
              <w:bottom w:val="nil"/>
              <w:right w:val="nil"/>
            </w:tcBorders>
          </w:tcPr>
          <w:p>
            <w:pPr>
              <w:widowControl/>
              <w:jc w:val="left"/>
              <w:rPr>
                <w:rFonts w:ascii="微软雅黑" w:hAnsi="微软雅黑" w:eastAsia="微软雅黑" w:cs="宋体"/>
                <w:color w:val="000000"/>
                <w:kern w:val="0"/>
                <w:sz w:val="27"/>
                <w:szCs w:val="27"/>
              </w:rPr>
            </w:pPr>
          </w:p>
        </w:tc>
      </w:tr>
    </w:tbl>
    <w:p>
      <w:r>
        <w:t>8月8日，新宝骏RC-5/RC-5W上市，新车共推13款，售价区间为5.98万-11.28万元。</w:t>
      </w:r>
    </w:p>
    <w:p>
      <w:r>
        <w:rPr>
          <w:rFonts w:hint="eastAsia"/>
        </w:rPr>
        <w:t>外观方面，新车采用“星际几何”设计语言，星辉矩阵式进气格栅搭配断点式元素，两侧大灯组采用分体式设计。</w:t>
      </w:r>
    </w:p>
    <w:p>
      <w:r>
        <w:rPr>
          <w:rFonts w:hint="eastAsia"/>
        </w:rPr>
        <w:t>内饰方面，新车采用造型方正的</w:t>
      </w:r>
      <w:r>
        <w:t>7英寸仪表、10.25英寸中控屏、平底式方向盘、挡杆附近的折线设计等。</w:t>
      </w:r>
    </w:p>
    <w:p>
      <w:r>
        <w:rPr>
          <w:rFonts w:hint="eastAsia"/>
        </w:rPr>
        <w:t>配置方面，新车配备</w:t>
      </w:r>
      <w:r>
        <w:t>OTA在线升级系统、手机App远程控制车辆、前后电动车窗、电动空调、车内PM2.5过滤系统等。</w:t>
      </w:r>
    </w:p>
    <w:p>
      <w:r>
        <w:rPr>
          <w:rFonts w:hint="eastAsia"/>
        </w:rPr>
        <w:t>动力方面，新车搭载</w:t>
      </w:r>
      <w:r>
        <w:t>1.5L和1.5T发动机，匹配6MT和CVT变速箱。</w:t>
      </w:r>
    </w:p>
    <w:p>
      <w:pPr>
        <w:rPr>
          <w:rFonts w:cs="宋体"/>
          <w:b/>
          <w:bCs/>
          <w:i/>
          <w:iCs/>
        </w:rPr>
      </w:pPr>
      <w:r>
        <w:rPr>
          <w:rFonts w:hint="eastAsia" w:cs="宋体"/>
          <w:b/>
          <w:bCs/>
          <w:i/>
          <w:iCs/>
        </w:rPr>
        <w:t>分析：。</w:t>
      </w:r>
    </w:p>
    <w:p>
      <w:pPr>
        <w:pStyle w:val="17"/>
        <w:numPr>
          <w:ilvl w:val="0"/>
          <w:numId w:val="3"/>
        </w:numPr>
        <w:ind w:firstLineChars="0"/>
        <w:outlineLvl w:val="1"/>
        <w:rPr>
          <w:b/>
        </w:rPr>
      </w:pPr>
      <w:r>
        <w:rPr>
          <w:b/>
        </w:rPr>
        <w:t>新款BEIJING-EU5</w:t>
      </w:r>
    </w:p>
    <w:tbl>
      <w:tblPr>
        <w:tblStyle w:val="8"/>
        <w:tblW w:w="0" w:type="auto"/>
        <w:tblCellSpacing w:w="15" w:type="dxa"/>
        <w:tblInd w:w="0" w:type="dxa"/>
        <w:tblLayout w:type="autofit"/>
        <w:tblCellMar>
          <w:top w:w="15" w:type="dxa"/>
          <w:left w:w="15" w:type="dxa"/>
          <w:bottom w:w="15" w:type="dxa"/>
          <w:right w:w="15" w:type="dxa"/>
        </w:tblCellMar>
      </w:tblPr>
      <w:tblGrid>
        <w:gridCol w:w="81"/>
        <w:gridCol w:w="5438"/>
        <w:gridCol w:w="81"/>
      </w:tblGrid>
      <w:tr>
        <w:tblPrEx>
          <w:tblCellMar>
            <w:top w:w="15" w:type="dxa"/>
            <w:left w:w="15" w:type="dxa"/>
            <w:bottom w:w="15" w:type="dxa"/>
            <w:right w:w="15" w:type="dxa"/>
          </w:tblCellMar>
        </w:tblPrEx>
        <w:trPr>
          <w:tblCellSpacing w:w="15" w:type="dxa"/>
        </w:trPr>
        <w:tc>
          <w:tcPr>
            <w:tcW w:w="0" w:type="auto"/>
            <w:tcBorders>
              <w:top w:val="nil"/>
              <w:left w:val="nil"/>
              <w:bottom w:val="nil"/>
              <w:right w:val="nil"/>
            </w:tcBorders>
          </w:tcPr>
          <w:p>
            <w:pPr>
              <w:widowControl/>
              <w:jc w:val="left"/>
              <w:rPr>
                <w:rFonts w:ascii="宋体" w:hAnsi="宋体" w:eastAsia="宋体" w:cs="宋体"/>
                <w:kern w:val="0"/>
                <w:sz w:val="24"/>
              </w:rPr>
            </w:pPr>
          </w:p>
        </w:tc>
        <w:tc>
          <w:tcPr>
            <w:tcW w:w="0" w:type="auto"/>
            <w:tcBorders>
              <w:top w:val="nil"/>
              <w:left w:val="nil"/>
              <w:bottom w:val="nil"/>
              <w:right w:val="nil"/>
            </w:tcBorders>
          </w:tcPr>
          <w:p>
            <w:pPr>
              <w:widowControl/>
              <w:jc w:val="left"/>
              <w:rPr>
                <w:rFonts w:ascii="微软雅黑" w:hAnsi="微软雅黑" w:eastAsia="微软雅黑" w:cs="宋体"/>
                <w:color w:val="000000"/>
                <w:kern w:val="0"/>
                <w:sz w:val="27"/>
                <w:szCs w:val="27"/>
              </w:rPr>
            </w:pPr>
            <w:r>
              <w:rPr>
                <w:rFonts w:ascii="微软雅黑" w:hAnsi="微软雅黑" w:eastAsia="微软雅黑" w:cs="宋体"/>
                <w:color w:val="000000"/>
                <w:kern w:val="0"/>
                <w:sz w:val="27"/>
                <w:szCs w:val="27"/>
              </w:rPr>
              <w:drawing>
                <wp:inline distT="0" distB="0" distL="0" distR="0">
                  <wp:extent cx="3415030" cy="1898650"/>
                  <wp:effectExtent l="0" t="0" r="0" b="6350"/>
                  <wp:docPr id="20" name="图片 20" descr="http://58.246.65.10:8231/UploadFile/2020081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http://58.246.65.10:8231/UploadFile/2020081005.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3418395" cy="1900422"/>
                          </a:xfrm>
                          <a:prstGeom prst="rect">
                            <a:avLst/>
                          </a:prstGeom>
                          <a:noFill/>
                          <a:ln>
                            <a:noFill/>
                          </a:ln>
                        </pic:spPr>
                      </pic:pic>
                    </a:graphicData>
                  </a:graphic>
                </wp:inline>
              </w:drawing>
            </w:r>
          </w:p>
        </w:tc>
        <w:tc>
          <w:tcPr>
            <w:tcW w:w="0" w:type="auto"/>
            <w:tcBorders>
              <w:top w:val="nil"/>
              <w:left w:val="nil"/>
              <w:bottom w:val="nil"/>
              <w:right w:val="nil"/>
            </w:tcBorders>
          </w:tcPr>
          <w:p>
            <w:pPr>
              <w:widowControl/>
              <w:jc w:val="left"/>
              <w:rPr>
                <w:rFonts w:ascii="微软雅黑" w:hAnsi="微软雅黑" w:eastAsia="微软雅黑" w:cs="宋体"/>
                <w:color w:val="000000"/>
                <w:kern w:val="0"/>
                <w:sz w:val="27"/>
                <w:szCs w:val="27"/>
              </w:rPr>
            </w:pPr>
          </w:p>
        </w:tc>
      </w:tr>
    </w:tbl>
    <w:p>
      <w:r>
        <w:t>8月7日，新款BEIJING-EU5上市，新车共推4款，补贴后售价区间为12.99万-17.19万元，享受国补2.025万元。</w:t>
      </w:r>
    </w:p>
    <w:p>
      <w:r>
        <w:rPr>
          <w:rFonts w:hint="eastAsia"/>
        </w:rPr>
        <w:t>外观方面，新车采用“</w:t>
      </w:r>
      <w:r>
        <w:t>BEIJING”全新标识。</w:t>
      </w:r>
    </w:p>
    <w:p>
      <w:r>
        <w:rPr>
          <w:rFonts w:hint="eastAsia"/>
        </w:rPr>
        <w:t>内饰方面，新车副驾驶前方采用仿金属质感的银灰色装饰。</w:t>
      </w:r>
    </w:p>
    <w:p>
      <w:r>
        <w:rPr>
          <w:rFonts w:hint="eastAsia"/>
        </w:rPr>
        <w:t>配置方面，新车配备电动腰托调节、后排空调出风口等。</w:t>
      </w:r>
    </w:p>
    <w:p>
      <w:r>
        <w:rPr>
          <w:rFonts w:hint="eastAsia"/>
        </w:rPr>
        <w:t>动力方面，新车搭载电动机，</w:t>
      </w:r>
      <w:r>
        <w:t>NEDC续航里程为416km和501km。</w:t>
      </w:r>
    </w:p>
    <w:p>
      <w:pPr>
        <w:rPr>
          <w:rFonts w:cs="宋体"/>
          <w:b/>
          <w:bCs/>
          <w:i/>
          <w:iCs/>
        </w:rPr>
      </w:pPr>
      <w:r>
        <w:rPr>
          <w:rFonts w:hint="eastAsia" w:cs="宋体"/>
          <w:b/>
          <w:bCs/>
          <w:i/>
          <w:iCs/>
        </w:rPr>
        <w:t>分析：。</w:t>
      </w:r>
    </w:p>
    <w:p>
      <w:pPr>
        <w:pStyle w:val="17"/>
        <w:numPr>
          <w:ilvl w:val="0"/>
          <w:numId w:val="3"/>
        </w:numPr>
        <w:ind w:firstLineChars="0"/>
        <w:outlineLvl w:val="1"/>
        <w:rPr>
          <w:b/>
        </w:rPr>
      </w:pPr>
      <w:r>
        <w:rPr>
          <w:b/>
        </w:rPr>
        <w:t>新款博骏</w:t>
      </w:r>
    </w:p>
    <w:tbl>
      <w:tblPr>
        <w:tblStyle w:val="8"/>
        <w:tblW w:w="0" w:type="auto"/>
        <w:tblCellSpacing w:w="15" w:type="dxa"/>
        <w:tblInd w:w="0" w:type="dxa"/>
        <w:tblLayout w:type="autofit"/>
        <w:tblCellMar>
          <w:top w:w="15" w:type="dxa"/>
          <w:left w:w="15" w:type="dxa"/>
          <w:bottom w:w="15" w:type="dxa"/>
          <w:right w:w="15" w:type="dxa"/>
        </w:tblCellMar>
      </w:tblPr>
      <w:tblGrid>
        <w:gridCol w:w="81"/>
        <w:gridCol w:w="3780"/>
        <w:gridCol w:w="81"/>
      </w:tblGrid>
      <w:tr>
        <w:tblPrEx>
          <w:tblCellMar>
            <w:top w:w="15" w:type="dxa"/>
            <w:left w:w="15" w:type="dxa"/>
            <w:bottom w:w="15" w:type="dxa"/>
            <w:right w:w="15" w:type="dxa"/>
          </w:tblCellMar>
        </w:tblPrEx>
        <w:trPr>
          <w:tblCellSpacing w:w="15" w:type="dxa"/>
        </w:trPr>
        <w:tc>
          <w:tcPr>
            <w:tcW w:w="0" w:type="auto"/>
            <w:tcBorders>
              <w:top w:val="nil"/>
              <w:left w:val="nil"/>
              <w:bottom w:val="nil"/>
              <w:right w:val="nil"/>
            </w:tcBorders>
          </w:tcPr>
          <w:p>
            <w:pPr>
              <w:widowControl/>
              <w:jc w:val="left"/>
              <w:rPr>
                <w:rFonts w:ascii="宋体" w:hAnsi="宋体" w:eastAsia="宋体" w:cs="宋体"/>
                <w:kern w:val="0"/>
                <w:sz w:val="24"/>
              </w:rPr>
            </w:pPr>
          </w:p>
        </w:tc>
        <w:tc>
          <w:tcPr>
            <w:tcW w:w="0" w:type="auto"/>
            <w:tcBorders>
              <w:top w:val="nil"/>
              <w:left w:val="nil"/>
              <w:bottom w:val="nil"/>
              <w:right w:val="nil"/>
            </w:tcBorders>
          </w:tcPr>
          <w:p>
            <w:pPr>
              <w:widowControl/>
              <w:jc w:val="left"/>
              <w:rPr>
                <w:rFonts w:ascii="微软雅黑" w:hAnsi="微软雅黑" w:eastAsia="微软雅黑" w:cs="宋体"/>
                <w:color w:val="000000"/>
                <w:kern w:val="0"/>
                <w:sz w:val="27"/>
                <w:szCs w:val="27"/>
              </w:rPr>
            </w:pPr>
            <w:r>
              <w:rPr>
                <w:rFonts w:ascii="微软雅黑" w:hAnsi="微软雅黑" w:eastAsia="微软雅黑" w:cs="宋体"/>
                <w:color w:val="000000"/>
                <w:kern w:val="0"/>
                <w:sz w:val="27"/>
                <w:szCs w:val="27"/>
              </w:rPr>
              <w:drawing>
                <wp:inline distT="0" distB="0" distL="0" distR="0">
                  <wp:extent cx="2352675" cy="1206500"/>
                  <wp:effectExtent l="0" t="0" r="9525" b="0"/>
                  <wp:docPr id="13" name="图片 13" descr="http://58.246.65.10:8231/UploadFile/20200813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http://58.246.65.10:8231/UploadFile/2020081303.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2354081" cy="1207029"/>
                          </a:xfrm>
                          <a:prstGeom prst="rect">
                            <a:avLst/>
                          </a:prstGeom>
                          <a:noFill/>
                          <a:ln>
                            <a:noFill/>
                          </a:ln>
                        </pic:spPr>
                      </pic:pic>
                    </a:graphicData>
                  </a:graphic>
                </wp:inline>
              </w:drawing>
            </w:r>
          </w:p>
        </w:tc>
        <w:tc>
          <w:tcPr>
            <w:tcW w:w="0" w:type="auto"/>
            <w:tcBorders>
              <w:top w:val="nil"/>
              <w:left w:val="nil"/>
              <w:bottom w:val="nil"/>
              <w:right w:val="nil"/>
            </w:tcBorders>
          </w:tcPr>
          <w:p>
            <w:pPr>
              <w:widowControl/>
              <w:jc w:val="left"/>
              <w:rPr>
                <w:rFonts w:ascii="微软雅黑" w:hAnsi="微软雅黑" w:eastAsia="微软雅黑" w:cs="宋体"/>
                <w:color w:val="000000"/>
                <w:kern w:val="0"/>
                <w:sz w:val="27"/>
                <w:szCs w:val="27"/>
              </w:rPr>
            </w:pPr>
          </w:p>
        </w:tc>
      </w:tr>
    </w:tbl>
    <w:p>
      <w:r>
        <w:t>8月12日，新款博骏上市，新车共推8款，售价区间为4.99万-12.99万元。</w:t>
      </w:r>
    </w:p>
    <w:p>
      <w:r>
        <w:rPr>
          <w:rFonts w:hint="eastAsia"/>
        </w:rPr>
        <w:t>外观方面，新车经典版车型采用横格栅设计，运动版车型采用直瀑式格栅设计。</w:t>
      </w:r>
    </w:p>
    <w:p>
      <w:r>
        <w:rPr>
          <w:rFonts w:hint="eastAsia"/>
        </w:rPr>
        <w:t>配置方面，新车部分车型配备</w:t>
      </w:r>
      <w:r>
        <w:t>360°全景影像、M-car智能互联系统、人机交互系统等。</w:t>
      </w:r>
    </w:p>
    <w:p>
      <w:r>
        <w:rPr>
          <w:rFonts w:hint="eastAsia"/>
        </w:rPr>
        <w:t>动力方面，新车搭载</w:t>
      </w:r>
      <w:r>
        <w:t>1.5L和1.5T发动机，匹配5MT和CVT变速箱。</w:t>
      </w:r>
    </w:p>
    <w:p>
      <w:pPr>
        <w:rPr>
          <w:rFonts w:cs="宋体"/>
          <w:b/>
          <w:bCs/>
          <w:i/>
          <w:iCs/>
        </w:rPr>
      </w:pPr>
      <w:r>
        <w:rPr>
          <w:rFonts w:hint="eastAsia" w:cs="宋体"/>
          <w:b/>
          <w:bCs/>
          <w:i/>
          <w:iCs/>
        </w:rPr>
        <w:t>分析：。</w:t>
      </w:r>
    </w:p>
    <w:p>
      <w:pPr>
        <w:pStyle w:val="17"/>
        <w:numPr>
          <w:ilvl w:val="0"/>
          <w:numId w:val="3"/>
        </w:numPr>
        <w:ind w:firstLineChars="0"/>
        <w:outlineLvl w:val="1"/>
        <w:rPr>
          <w:b/>
        </w:rPr>
      </w:pPr>
      <w:r>
        <w:rPr>
          <w:b/>
        </w:rPr>
        <w:t>新款哈弗H6（第二代）</w:t>
      </w:r>
    </w:p>
    <w:tbl>
      <w:tblPr>
        <w:tblStyle w:val="8"/>
        <w:tblW w:w="0" w:type="auto"/>
        <w:tblCellSpacing w:w="15" w:type="dxa"/>
        <w:tblInd w:w="0" w:type="dxa"/>
        <w:tblLayout w:type="autofit"/>
        <w:tblCellMar>
          <w:top w:w="15" w:type="dxa"/>
          <w:left w:w="15" w:type="dxa"/>
          <w:bottom w:w="15" w:type="dxa"/>
          <w:right w:w="15" w:type="dxa"/>
        </w:tblCellMar>
      </w:tblPr>
      <w:tblGrid>
        <w:gridCol w:w="81"/>
        <w:gridCol w:w="5525"/>
        <w:gridCol w:w="81"/>
      </w:tblGrid>
      <w:tr>
        <w:tblPrEx>
          <w:tblCellMar>
            <w:top w:w="15" w:type="dxa"/>
            <w:left w:w="15" w:type="dxa"/>
            <w:bottom w:w="15" w:type="dxa"/>
            <w:right w:w="15" w:type="dxa"/>
          </w:tblCellMar>
        </w:tblPrEx>
        <w:trPr>
          <w:tblCellSpacing w:w="15" w:type="dxa"/>
        </w:trPr>
        <w:tc>
          <w:tcPr>
            <w:tcW w:w="0" w:type="auto"/>
            <w:tcBorders>
              <w:top w:val="nil"/>
              <w:left w:val="nil"/>
              <w:bottom w:val="nil"/>
              <w:right w:val="nil"/>
            </w:tcBorders>
          </w:tcPr>
          <w:p>
            <w:pPr>
              <w:widowControl/>
              <w:jc w:val="left"/>
              <w:rPr>
                <w:rFonts w:ascii="宋体" w:hAnsi="宋体" w:eastAsia="宋体" w:cs="宋体"/>
                <w:kern w:val="0"/>
                <w:sz w:val="24"/>
              </w:rPr>
            </w:pPr>
          </w:p>
        </w:tc>
        <w:tc>
          <w:tcPr>
            <w:tcW w:w="0" w:type="auto"/>
            <w:tcBorders>
              <w:top w:val="nil"/>
              <w:left w:val="nil"/>
              <w:bottom w:val="nil"/>
              <w:right w:val="nil"/>
            </w:tcBorders>
          </w:tcPr>
          <w:p>
            <w:pPr>
              <w:widowControl/>
              <w:jc w:val="left"/>
              <w:rPr>
                <w:rFonts w:ascii="微软雅黑" w:hAnsi="微软雅黑" w:eastAsia="微软雅黑" w:cs="宋体"/>
                <w:color w:val="000000"/>
                <w:kern w:val="0"/>
                <w:sz w:val="27"/>
                <w:szCs w:val="27"/>
              </w:rPr>
            </w:pPr>
            <w:r>
              <w:rPr>
                <w:rFonts w:ascii="微软雅黑" w:hAnsi="微软雅黑" w:eastAsia="微软雅黑" w:cs="宋体"/>
                <w:color w:val="000000"/>
                <w:kern w:val="0"/>
                <w:sz w:val="27"/>
                <w:szCs w:val="27"/>
              </w:rPr>
              <w:drawing>
                <wp:inline distT="0" distB="0" distL="0" distR="0">
                  <wp:extent cx="3470275" cy="1955800"/>
                  <wp:effectExtent l="0" t="0" r="0" b="6350"/>
                  <wp:docPr id="18" name="图片 18" descr="http://58.246.65.10:8231/UploadFile/20200811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http://58.246.65.10:8231/UploadFile/2020081102.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3473506" cy="1957578"/>
                          </a:xfrm>
                          <a:prstGeom prst="rect">
                            <a:avLst/>
                          </a:prstGeom>
                          <a:noFill/>
                          <a:ln>
                            <a:noFill/>
                          </a:ln>
                        </pic:spPr>
                      </pic:pic>
                    </a:graphicData>
                  </a:graphic>
                </wp:inline>
              </w:drawing>
            </w:r>
          </w:p>
        </w:tc>
        <w:tc>
          <w:tcPr>
            <w:tcW w:w="0" w:type="auto"/>
            <w:tcBorders>
              <w:top w:val="nil"/>
              <w:left w:val="nil"/>
              <w:bottom w:val="nil"/>
              <w:right w:val="nil"/>
            </w:tcBorders>
          </w:tcPr>
          <w:p>
            <w:pPr>
              <w:widowControl/>
              <w:jc w:val="left"/>
              <w:rPr>
                <w:rFonts w:ascii="微软雅黑" w:hAnsi="微软雅黑" w:eastAsia="微软雅黑" w:cs="宋体"/>
                <w:color w:val="000000"/>
                <w:kern w:val="0"/>
                <w:sz w:val="27"/>
                <w:szCs w:val="27"/>
              </w:rPr>
            </w:pPr>
          </w:p>
        </w:tc>
      </w:tr>
    </w:tbl>
    <w:p>
      <w:r>
        <w:t>8月10日，新款哈弗H6（第二代）上市，新车共推10款，售价区间为9.8万-14.1万元。</w:t>
      </w:r>
    </w:p>
    <w:p>
      <w:r>
        <w:rPr>
          <w:rFonts w:hint="eastAsia"/>
        </w:rPr>
        <w:t>外观方面，新车采用纺锤形深色电镀网格设计，配合</w:t>
      </w:r>
      <w:r>
        <w:t>Y字形雾灯灯罩。</w:t>
      </w:r>
    </w:p>
    <w:p>
      <w:r>
        <w:rPr>
          <w:rFonts w:hint="eastAsia"/>
        </w:rPr>
        <w:t>内饰方面，新车新增黑蓝内饰。</w:t>
      </w:r>
    </w:p>
    <w:p>
      <w:r>
        <w:rPr>
          <w:rFonts w:hint="eastAsia"/>
        </w:rPr>
        <w:t>配置方面，新车部分车型配备</w:t>
      </w:r>
      <w:r>
        <w:t>H-Clean净化系统、全自动泊车、哈弗智能生活云Hi-Life系统、四门一键升降、N95空调滤芯、AQS空气质量监测、负离子净化器等。</w:t>
      </w:r>
    </w:p>
    <w:p>
      <w:r>
        <w:rPr>
          <w:rFonts w:hint="eastAsia"/>
        </w:rPr>
        <w:t>动力方面，新车搭载</w:t>
      </w:r>
      <w:r>
        <w:t>1.5T和2.0T发动机，匹配6MT和7DCT变速箱。</w:t>
      </w:r>
    </w:p>
    <w:p>
      <w:pPr>
        <w:rPr>
          <w:rFonts w:cs="宋体"/>
          <w:b/>
          <w:bCs/>
          <w:i/>
          <w:iCs/>
        </w:rPr>
      </w:pPr>
      <w:r>
        <w:rPr>
          <w:rFonts w:hint="eastAsia" w:cs="宋体"/>
          <w:b/>
          <w:bCs/>
          <w:i/>
          <w:iCs/>
        </w:rPr>
        <w:t>分析：。</w:t>
      </w:r>
    </w:p>
    <w:p>
      <w:pPr>
        <w:pStyle w:val="17"/>
        <w:numPr>
          <w:ilvl w:val="0"/>
          <w:numId w:val="3"/>
        </w:numPr>
        <w:ind w:firstLineChars="0"/>
        <w:outlineLvl w:val="1"/>
        <w:rPr>
          <w:b/>
        </w:rPr>
      </w:pPr>
      <w:r>
        <w:rPr>
          <w:b/>
        </w:rPr>
        <w:t>新款领克02</w:t>
      </w:r>
    </w:p>
    <w:tbl>
      <w:tblPr>
        <w:tblStyle w:val="8"/>
        <w:tblW w:w="0" w:type="auto"/>
        <w:tblCellSpacing w:w="15" w:type="dxa"/>
        <w:tblInd w:w="0" w:type="dxa"/>
        <w:tblLayout w:type="autofit"/>
        <w:tblCellMar>
          <w:top w:w="15" w:type="dxa"/>
          <w:left w:w="15" w:type="dxa"/>
          <w:bottom w:w="15" w:type="dxa"/>
          <w:right w:w="15" w:type="dxa"/>
        </w:tblCellMar>
      </w:tblPr>
      <w:tblGrid>
        <w:gridCol w:w="81"/>
        <w:gridCol w:w="3821"/>
        <w:gridCol w:w="81"/>
      </w:tblGrid>
      <w:tr>
        <w:tblPrEx>
          <w:tblCellMar>
            <w:top w:w="15" w:type="dxa"/>
            <w:left w:w="15" w:type="dxa"/>
            <w:bottom w:w="15" w:type="dxa"/>
            <w:right w:w="15" w:type="dxa"/>
          </w:tblCellMar>
        </w:tblPrEx>
        <w:trPr>
          <w:tblCellSpacing w:w="15" w:type="dxa"/>
        </w:trPr>
        <w:tc>
          <w:tcPr>
            <w:tcW w:w="0" w:type="auto"/>
            <w:tcBorders>
              <w:top w:val="nil"/>
              <w:left w:val="nil"/>
              <w:bottom w:val="nil"/>
              <w:right w:val="nil"/>
            </w:tcBorders>
          </w:tcPr>
          <w:p>
            <w:pPr>
              <w:widowControl/>
              <w:jc w:val="left"/>
              <w:rPr>
                <w:rFonts w:ascii="宋体" w:hAnsi="宋体" w:eastAsia="宋体" w:cs="宋体"/>
                <w:kern w:val="0"/>
                <w:sz w:val="24"/>
              </w:rPr>
            </w:pPr>
          </w:p>
        </w:tc>
        <w:tc>
          <w:tcPr>
            <w:tcW w:w="0" w:type="auto"/>
            <w:tcBorders>
              <w:top w:val="nil"/>
              <w:left w:val="nil"/>
              <w:bottom w:val="nil"/>
              <w:right w:val="nil"/>
            </w:tcBorders>
          </w:tcPr>
          <w:p>
            <w:pPr>
              <w:widowControl/>
              <w:jc w:val="left"/>
              <w:rPr>
                <w:rFonts w:ascii="微软雅黑" w:hAnsi="微软雅黑" w:eastAsia="微软雅黑" w:cs="宋体"/>
                <w:color w:val="000000"/>
                <w:kern w:val="0"/>
                <w:sz w:val="27"/>
                <w:szCs w:val="27"/>
              </w:rPr>
            </w:pPr>
            <w:r>
              <w:rPr>
                <w:rFonts w:ascii="微软雅黑" w:hAnsi="微软雅黑" w:eastAsia="微软雅黑" w:cs="宋体"/>
                <w:color w:val="000000"/>
                <w:kern w:val="0"/>
                <w:sz w:val="27"/>
                <w:szCs w:val="27"/>
              </w:rPr>
              <w:drawing>
                <wp:inline distT="0" distB="0" distL="0" distR="0">
                  <wp:extent cx="2388235" cy="1257300"/>
                  <wp:effectExtent l="0" t="0" r="0" b="0"/>
                  <wp:docPr id="19" name="图片 19" descr="http://58.246.65.10:8231/UploadFile/20200812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http://58.246.65.10:8231/UploadFile/2020081201.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2390151" cy="1258284"/>
                          </a:xfrm>
                          <a:prstGeom prst="rect">
                            <a:avLst/>
                          </a:prstGeom>
                          <a:noFill/>
                          <a:ln>
                            <a:noFill/>
                          </a:ln>
                        </pic:spPr>
                      </pic:pic>
                    </a:graphicData>
                  </a:graphic>
                </wp:inline>
              </w:drawing>
            </w:r>
          </w:p>
        </w:tc>
        <w:tc>
          <w:tcPr>
            <w:tcW w:w="0" w:type="auto"/>
            <w:tcBorders>
              <w:top w:val="nil"/>
              <w:left w:val="nil"/>
              <w:bottom w:val="nil"/>
              <w:right w:val="nil"/>
            </w:tcBorders>
          </w:tcPr>
          <w:p>
            <w:pPr>
              <w:widowControl/>
              <w:jc w:val="left"/>
              <w:rPr>
                <w:rFonts w:ascii="微软雅黑" w:hAnsi="微软雅黑" w:eastAsia="微软雅黑" w:cs="宋体"/>
                <w:color w:val="000000"/>
                <w:kern w:val="0"/>
                <w:sz w:val="27"/>
                <w:szCs w:val="27"/>
              </w:rPr>
            </w:pPr>
          </w:p>
        </w:tc>
      </w:tr>
    </w:tbl>
    <w:p>
      <w:r>
        <w:t>8月10日，新款领克02上市，新车共推12款，售价区间为11.98万-19.77万元。</w:t>
      </w:r>
    </w:p>
    <w:p>
      <w:r>
        <w:rPr>
          <w:rFonts w:hint="eastAsia"/>
        </w:rPr>
        <w:t>外观方面，新车与老款车型基本保持一致。</w:t>
      </w:r>
    </w:p>
    <w:p>
      <w:r>
        <w:rPr>
          <w:rFonts w:hint="eastAsia"/>
        </w:rPr>
        <w:t>配置方面，新车优化语音助手功能，增加主流应用，部分车型免费升级</w:t>
      </w:r>
      <w:r>
        <w:t>540°全景影像。</w:t>
      </w:r>
    </w:p>
    <w:p>
      <w:r>
        <w:rPr>
          <w:rFonts w:hint="eastAsia"/>
        </w:rPr>
        <w:t>动力方面，新车搭载</w:t>
      </w:r>
      <w:r>
        <w:t>1.5T和2.0T发动机，匹配6MT，6TIP和7DCT变速箱。</w:t>
      </w:r>
    </w:p>
    <w:p>
      <w:pPr>
        <w:rPr>
          <w:rFonts w:cs="宋体"/>
          <w:b/>
          <w:bCs/>
          <w:i/>
          <w:iCs/>
        </w:rPr>
      </w:pPr>
      <w:r>
        <w:rPr>
          <w:rFonts w:hint="eastAsia" w:cs="宋体"/>
          <w:b/>
          <w:bCs/>
          <w:i/>
          <w:iCs/>
        </w:rPr>
        <w:t>分析：。</w:t>
      </w:r>
    </w:p>
    <w:p>
      <w:pPr>
        <w:pStyle w:val="17"/>
        <w:numPr>
          <w:ilvl w:val="0"/>
          <w:numId w:val="3"/>
        </w:numPr>
        <w:ind w:firstLineChars="0"/>
        <w:outlineLvl w:val="1"/>
        <w:rPr>
          <w:b/>
        </w:rPr>
      </w:pPr>
      <w:r>
        <w:rPr>
          <w:b/>
        </w:rPr>
        <w:t>新款领克03</w:t>
      </w:r>
    </w:p>
    <w:tbl>
      <w:tblPr>
        <w:tblStyle w:val="8"/>
        <w:tblW w:w="0" w:type="auto"/>
        <w:tblCellSpacing w:w="15" w:type="dxa"/>
        <w:tblInd w:w="0" w:type="dxa"/>
        <w:tblLayout w:type="autofit"/>
        <w:tblCellMar>
          <w:top w:w="15" w:type="dxa"/>
          <w:left w:w="15" w:type="dxa"/>
          <w:bottom w:w="15" w:type="dxa"/>
          <w:right w:w="15" w:type="dxa"/>
        </w:tblCellMar>
      </w:tblPr>
      <w:tblGrid>
        <w:gridCol w:w="81"/>
        <w:gridCol w:w="4890"/>
        <w:gridCol w:w="81"/>
      </w:tblGrid>
      <w:tr>
        <w:tblPrEx>
          <w:tblCellMar>
            <w:top w:w="15" w:type="dxa"/>
            <w:left w:w="15" w:type="dxa"/>
            <w:bottom w:w="15" w:type="dxa"/>
            <w:right w:w="15" w:type="dxa"/>
          </w:tblCellMar>
        </w:tblPrEx>
        <w:trPr>
          <w:tblCellSpacing w:w="15" w:type="dxa"/>
        </w:trPr>
        <w:tc>
          <w:tcPr>
            <w:tcW w:w="0" w:type="auto"/>
            <w:tcBorders>
              <w:top w:val="nil"/>
              <w:left w:val="nil"/>
              <w:bottom w:val="nil"/>
              <w:right w:val="nil"/>
            </w:tcBorders>
          </w:tcPr>
          <w:p>
            <w:pPr>
              <w:widowControl/>
              <w:jc w:val="left"/>
              <w:rPr>
                <w:rFonts w:ascii="宋体" w:hAnsi="宋体" w:eastAsia="宋体" w:cs="宋体"/>
                <w:kern w:val="0"/>
                <w:sz w:val="24"/>
              </w:rPr>
            </w:pPr>
          </w:p>
        </w:tc>
        <w:tc>
          <w:tcPr>
            <w:tcW w:w="0" w:type="auto"/>
            <w:tcBorders>
              <w:top w:val="nil"/>
              <w:left w:val="nil"/>
              <w:bottom w:val="nil"/>
              <w:right w:val="nil"/>
            </w:tcBorders>
          </w:tcPr>
          <w:p>
            <w:pPr>
              <w:widowControl/>
              <w:jc w:val="left"/>
              <w:rPr>
                <w:rFonts w:ascii="微软雅黑" w:hAnsi="微软雅黑" w:eastAsia="微软雅黑" w:cs="宋体"/>
                <w:color w:val="000000"/>
                <w:kern w:val="0"/>
                <w:sz w:val="27"/>
                <w:szCs w:val="27"/>
              </w:rPr>
            </w:pPr>
            <w:r>
              <w:rPr>
                <w:rFonts w:ascii="微软雅黑" w:hAnsi="微软雅黑" w:eastAsia="微软雅黑" w:cs="宋体"/>
                <w:color w:val="000000"/>
                <w:kern w:val="0"/>
                <w:sz w:val="27"/>
                <w:szCs w:val="27"/>
              </w:rPr>
              <w:drawing>
                <wp:inline distT="0" distB="0" distL="0" distR="0">
                  <wp:extent cx="3060700" cy="1485900"/>
                  <wp:effectExtent l="0" t="0" r="6350" b="0"/>
                  <wp:docPr id="12" name="图片 12" descr="http://58.246.65.10:8231/UploadFile/20200812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http://58.246.65.10:8231/UploadFile/2020081202.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a:xfrm>
                            <a:off x="0" y="0"/>
                            <a:ext cx="3064539" cy="1488211"/>
                          </a:xfrm>
                          <a:prstGeom prst="rect">
                            <a:avLst/>
                          </a:prstGeom>
                          <a:noFill/>
                          <a:ln>
                            <a:noFill/>
                          </a:ln>
                        </pic:spPr>
                      </pic:pic>
                    </a:graphicData>
                  </a:graphic>
                </wp:inline>
              </w:drawing>
            </w:r>
          </w:p>
        </w:tc>
        <w:tc>
          <w:tcPr>
            <w:tcW w:w="0" w:type="auto"/>
            <w:tcBorders>
              <w:top w:val="nil"/>
              <w:left w:val="nil"/>
              <w:bottom w:val="nil"/>
              <w:right w:val="nil"/>
            </w:tcBorders>
          </w:tcPr>
          <w:p>
            <w:pPr>
              <w:widowControl/>
              <w:jc w:val="left"/>
              <w:rPr>
                <w:rFonts w:ascii="微软雅黑" w:hAnsi="微软雅黑" w:eastAsia="微软雅黑" w:cs="宋体"/>
                <w:color w:val="000000"/>
                <w:kern w:val="0"/>
                <w:sz w:val="27"/>
                <w:szCs w:val="27"/>
              </w:rPr>
            </w:pPr>
          </w:p>
        </w:tc>
      </w:tr>
    </w:tbl>
    <w:p>
      <w:r>
        <w:t>8月10日，新款领克03上市，新车共推9款，售价区间为11.38万-19.67万元。</w:t>
      </w:r>
    </w:p>
    <w:p>
      <w:r>
        <w:rPr>
          <w:rFonts w:hint="eastAsia"/>
        </w:rPr>
        <w:t>外观方面，新车与老款车型基本保持一致。</w:t>
      </w:r>
    </w:p>
    <w:p>
      <w:r>
        <w:rPr>
          <w:rFonts w:hint="eastAsia"/>
        </w:rPr>
        <w:t>配置方面，新车优化语音助手功能，增加主流应用，部分车型免费升级</w:t>
      </w:r>
      <w:r>
        <w:t>540°全景影像。</w:t>
      </w:r>
    </w:p>
    <w:p>
      <w:r>
        <w:rPr>
          <w:rFonts w:hint="eastAsia"/>
        </w:rPr>
        <w:t>动力方面，新车搭载</w:t>
      </w:r>
      <w:r>
        <w:t>1.5T和2.0T发动机，匹配6MT，6TIP和7DCT变速箱。</w:t>
      </w:r>
    </w:p>
    <w:p>
      <w:pPr>
        <w:rPr>
          <w:rFonts w:cs="宋体"/>
          <w:b/>
          <w:bCs/>
          <w:i/>
          <w:iCs/>
        </w:rPr>
      </w:pPr>
      <w:r>
        <w:rPr>
          <w:rFonts w:hint="eastAsia" w:cs="宋体"/>
          <w:b/>
          <w:bCs/>
          <w:i/>
          <w:iCs/>
        </w:rPr>
        <w:t>分析：。</w:t>
      </w:r>
    </w:p>
    <w:p>
      <w:pPr>
        <w:pStyle w:val="17"/>
        <w:numPr>
          <w:ilvl w:val="0"/>
          <w:numId w:val="3"/>
        </w:numPr>
        <w:ind w:firstLineChars="0"/>
        <w:outlineLvl w:val="1"/>
        <w:rPr>
          <w:b/>
        </w:rPr>
      </w:pPr>
      <w:r>
        <w:rPr>
          <w:b/>
        </w:rPr>
        <w:t>新款日产楼兰</w:t>
      </w:r>
    </w:p>
    <w:tbl>
      <w:tblPr>
        <w:tblStyle w:val="8"/>
        <w:tblW w:w="0" w:type="auto"/>
        <w:tblCellSpacing w:w="15" w:type="dxa"/>
        <w:tblInd w:w="0" w:type="dxa"/>
        <w:tblLayout w:type="autofit"/>
        <w:tblCellMar>
          <w:top w:w="15" w:type="dxa"/>
          <w:left w:w="15" w:type="dxa"/>
          <w:bottom w:w="15" w:type="dxa"/>
          <w:right w:w="15" w:type="dxa"/>
        </w:tblCellMar>
      </w:tblPr>
      <w:tblGrid>
        <w:gridCol w:w="81"/>
        <w:gridCol w:w="3960"/>
        <w:gridCol w:w="81"/>
      </w:tblGrid>
      <w:tr>
        <w:tblPrEx>
          <w:tblCellMar>
            <w:top w:w="15" w:type="dxa"/>
            <w:left w:w="15" w:type="dxa"/>
            <w:bottom w:w="15" w:type="dxa"/>
            <w:right w:w="15" w:type="dxa"/>
          </w:tblCellMar>
        </w:tblPrEx>
        <w:trPr>
          <w:tblCellSpacing w:w="15" w:type="dxa"/>
        </w:trPr>
        <w:tc>
          <w:tcPr>
            <w:tcW w:w="0" w:type="auto"/>
            <w:tcBorders>
              <w:top w:val="nil"/>
              <w:left w:val="nil"/>
              <w:bottom w:val="nil"/>
              <w:right w:val="nil"/>
            </w:tcBorders>
          </w:tcPr>
          <w:p>
            <w:pPr>
              <w:widowControl/>
              <w:jc w:val="left"/>
              <w:rPr>
                <w:rFonts w:ascii="宋体" w:hAnsi="宋体" w:eastAsia="宋体" w:cs="宋体"/>
                <w:kern w:val="0"/>
                <w:sz w:val="24"/>
              </w:rPr>
            </w:pPr>
          </w:p>
        </w:tc>
        <w:tc>
          <w:tcPr>
            <w:tcW w:w="0" w:type="auto"/>
            <w:tcBorders>
              <w:top w:val="nil"/>
              <w:left w:val="nil"/>
              <w:bottom w:val="nil"/>
              <w:right w:val="nil"/>
            </w:tcBorders>
          </w:tcPr>
          <w:p>
            <w:pPr>
              <w:widowControl/>
              <w:jc w:val="left"/>
              <w:rPr>
                <w:rFonts w:ascii="微软雅黑" w:hAnsi="微软雅黑" w:eastAsia="微软雅黑" w:cs="宋体"/>
                <w:color w:val="000000"/>
                <w:kern w:val="0"/>
                <w:sz w:val="27"/>
                <w:szCs w:val="27"/>
              </w:rPr>
            </w:pPr>
            <w:r>
              <w:rPr>
                <w:rFonts w:ascii="微软雅黑" w:hAnsi="微软雅黑" w:eastAsia="微软雅黑" w:cs="宋体"/>
                <w:color w:val="000000"/>
                <w:kern w:val="0"/>
                <w:sz w:val="27"/>
                <w:szCs w:val="27"/>
              </w:rPr>
              <w:drawing>
                <wp:inline distT="0" distB="0" distL="0" distR="0">
                  <wp:extent cx="2468245" cy="1257300"/>
                  <wp:effectExtent l="0" t="0" r="8255" b="0"/>
                  <wp:docPr id="7" name="图片 7" descr="http://58.246.65.10:8231/UploadFile/20200814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http://58.246.65.10:8231/UploadFile/2020081402.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2473061" cy="1259523"/>
                          </a:xfrm>
                          <a:prstGeom prst="rect">
                            <a:avLst/>
                          </a:prstGeom>
                          <a:noFill/>
                          <a:ln>
                            <a:noFill/>
                          </a:ln>
                        </pic:spPr>
                      </pic:pic>
                    </a:graphicData>
                  </a:graphic>
                </wp:inline>
              </w:drawing>
            </w:r>
          </w:p>
        </w:tc>
        <w:tc>
          <w:tcPr>
            <w:tcW w:w="0" w:type="auto"/>
            <w:tcBorders>
              <w:top w:val="nil"/>
              <w:left w:val="nil"/>
              <w:bottom w:val="nil"/>
              <w:right w:val="nil"/>
            </w:tcBorders>
          </w:tcPr>
          <w:p>
            <w:pPr>
              <w:widowControl/>
              <w:jc w:val="left"/>
              <w:rPr>
                <w:rFonts w:ascii="微软雅黑" w:hAnsi="微软雅黑" w:eastAsia="微软雅黑" w:cs="宋体"/>
                <w:color w:val="000000"/>
                <w:kern w:val="0"/>
                <w:sz w:val="27"/>
                <w:szCs w:val="27"/>
              </w:rPr>
            </w:pPr>
          </w:p>
        </w:tc>
      </w:tr>
    </w:tbl>
    <w:p/>
    <w:p>
      <w:r>
        <w:t>8月13日，新款日产楼兰上市，新车共推6款，售价区间为23.88万-37.58万元。</w:t>
      </w:r>
    </w:p>
    <w:p>
      <w:r>
        <w:rPr>
          <w:rFonts w:hint="eastAsia"/>
        </w:rPr>
        <w:t>外观方面，新车与老款车型基本保持一致。</w:t>
      </w:r>
    </w:p>
    <w:p>
      <w:r>
        <w:rPr>
          <w:rFonts w:hint="eastAsia"/>
        </w:rPr>
        <w:t>配置方面，新车新增“极光蓝”车色、升级了</w:t>
      </w:r>
      <w:r>
        <w:t>NissanConnect超智联车联网系统、增加行车记录仪、自动折叠后视镜等。</w:t>
      </w:r>
    </w:p>
    <w:p>
      <w:r>
        <w:rPr>
          <w:rFonts w:hint="eastAsia"/>
        </w:rPr>
        <w:t>动力方面，新车搭载</w:t>
      </w:r>
      <w:r>
        <w:t>2.5L和2.5T发动机，匹配CVT变速箱。</w:t>
      </w:r>
    </w:p>
    <w:p>
      <w:pPr>
        <w:rPr>
          <w:rFonts w:cs="宋体"/>
          <w:b/>
          <w:bCs/>
          <w:i/>
          <w:iCs/>
        </w:rPr>
      </w:pPr>
      <w:r>
        <w:rPr>
          <w:rFonts w:hint="eastAsia" w:cs="宋体"/>
          <w:b/>
          <w:bCs/>
          <w:i/>
          <w:iCs/>
        </w:rPr>
        <w:t>分析：。</w:t>
      </w:r>
    </w:p>
    <w:p>
      <w:pPr>
        <w:pStyle w:val="17"/>
        <w:numPr>
          <w:ilvl w:val="0"/>
          <w:numId w:val="3"/>
        </w:numPr>
        <w:ind w:firstLineChars="0"/>
        <w:outlineLvl w:val="1"/>
        <w:rPr>
          <w:b/>
        </w:rPr>
      </w:pPr>
      <w:r>
        <w:rPr>
          <w:b/>
        </w:rPr>
        <w:t>新款斯派卡</w:t>
      </w:r>
    </w:p>
    <w:tbl>
      <w:tblPr>
        <w:tblStyle w:val="8"/>
        <w:tblW w:w="0" w:type="auto"/>
        <w:tblCellSpacing w:w="15" w:type="dxa"/>
        <w:tblInd w:w="0" w:type="dxa"/>
        <w:tblLayout w:type="autofit"/>
        <w:tblCellMar>
          <w:top w:w="15" w:type="dxa"/>
          <w:left w:w="15" w:type="dxa"/>
          <w:bottom w:w="15" w:type="dxa"/>
          <w:right w:w="15" w:type="dxa"/>
        </w:tblCellMar>
      </w:tblPr>
      <w:tblGrid>
        <w:gridCol w:w="81"/>
        <w:gridCol w:w="5190"/>
        <w:gridCol w:w="81"/>
      </w:tblGrid>
      <w:tr>
        <w:tblPrEx>
          <w:tblCellMar>
            <w:top w:w="15" w:type="dxa"/>
            <w:left w:w="15" w:type="dxa"/>
            <w:bottom w:w="15" w:type="dxa"/>
            <w:right w:w="15" w:type="dxa"/>
          </w:tblCellMar>
        </w:tblPrEx>
        <w:trPr>
          <w:tblCellSpacing w:w="15" w:type="dxa"/>
        </w:trPr>
        <w:tc>
          <w:tcPr>
            <w:tcW w:w="0" w:type="auto"/>
            <w:tcBorders>
              <w:top w:val="nil"/>
              <w:left w:val="nil"/>
              <w:bottom w:val="nil"/>
              <w:right w:val="nil"/>
            </w:tcBorders>
          </w:tcPr>
          <w:p>
            <w:pPr>
              <w:widowControl/>
              <w:jc w:val="left"/>
              <w:rPr>
                <w:rFonts w:ascii="宋体" w:hAnsi="宋体" w:eastAsia="宋体" w:cs="宋体"/>
                <w:kern w:val="0"/>
                <w:sz w:val="24"/>
              </w:rPr>
            </w:pPr>
          </w:p>
        </w:tc>
        <w:tc>
          <w:tcPr>
            <w:tcW w:w="0" w:type="auto"/>
            <w:tcBorders>
              <w:top w:val="nil"/>
              <w:left w:val="nil"/>
              <w:bottom w:val="nil"/>
              <w:right w:val="nil"/>
            </w:tcBorders>
          </w:tcPr>
          <w:p>
            <w:pPr>
              <w:widowControl/>
              <w:jc w:val="left"/>
              <w:rPr>
                <w:rFonts w:ascii="微软雅黑" w:hAnsi="微软雅黑" w:eastAsia="微软雅黑" w:cs="宋体"/>
                <w:color w:val="000000"/>
                <w:kern w:val="0"/>
                <w:sz w:val="27"/>
                <w:szCs w:val="27"/>
              </w:rPr>
            </w:pPr>
            <w:r>
              <w:rPr>
                <w:rFonts w:ascii="微软雅黑" w:hAnsi="微软雅黑" w:eastAsia="微软雅黑" w:cs="宋体"/>
                <w:color w:val="000000"/>
                <w:kern w:val="0"/>
                <w:sz w:val="27"/>
                <w:szCs w:val="27"/>
              </w:rPr>
              <w:drawing>
                <wp:inline distT="0" distB="0" distL="0" distR="0">
                  <wp:extent cx="3256280" cy="1892300"/>
                  <wp:effectExtent l="0" t="0" r="1270" b="0"/>
                  <wp:docPr id="6" name="图片 6" descr="http://58.246.65.10:8231/UploadFile/20200813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http://58.246.65.10:8231/UploadFile/2020081304.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3262782" cy="1895815"/>
                          </a:xfrm>
                          <a:prstGeom prst="rect">
                            <a:avLst/>
                          </a:prstGeom>
                          <a:noFill/>
                          <a:ln>
                            <a:noFill/>
                          </a:ln>
                        </pic:spPr>
                      </pic:pic>
                    </a:graphicData>
                  </a:graphic>
                </wp:inline>
              </w:drawing>
            </w:r>
          </w:p>
        </w:tc>
        <w:tc>
          <w:tcPr>
            <w:tcW w:w="0" w:type="auto"/>
            <w:tcBorders>
              <w:top w:val="nil"/>
              <w:left w:val="nil"/>
              <w:bottom w:val="nil"/>
              <w:right w:val="nil"/>
            </w:tcBorders>
          </w:tcPr>
          <w:p>
            <w:pPr>
              <w:widowControl/>
              <w:jc w:val="left"/>
              <w:rPr>
                <w:rFonts w:ascii="微软雅黑" w:hAnsi="微软雅黑" w:eastAsia="微软雅黑" w:cs="宋体"/>
                <w:color w:val="000000"/>
                <w:kern w:val="0"/>
                <w:sz w:val="27"/>
                <w:szCs w:val="27"/>
              </w:rPr>
            </w:pPr>
          </w:p>
        </w:tc>
      </w:tr>
    </w:tbl>
    <w:p>
      <w:r>
        <w:t>8月12日，新款斯派卡上市，新车共推4款，售价区间为4.99万-6.99万元。</w:t>
      </w:r>
    </w:p>
    <w:p>
      <w:r>
        <w:rPr>
          <w:rFonts w:hint="eastAsia"/>
        </w:rPr>
        <w:t>外观方面，新车与老款车型基本保持一致。</w:t>
      </w:r>
    </w:p>
    <w:p>
      <w:r>
        <w:rPr>
          <w:rFonts w:hint="eastAsia"/>
        </w:rPr>
        <w:t>配置方面，新车配备防抱死制动系统（</w:t>
      </w:r>
      <w:r>
        <w:t>ABS）、电子制动力分配（EBD）、倒车雷达、后门儿童安全锁、内后视镜手动防眩目、电动外后视镜等。</w:t>
      </w:r>
    </w:p>
    <w:p>
      <w:r>
        <w:rPr>
          <w:rFonts w:hint="eastAsia"/>
        </w:rPr>
        <w:t>动力方面，新车搭载</w:t>
      </w:r>
      <w:r>
        <w:t>1.5L发动机，匹配变5MT和CVT速箱。</w:t>
      </w:r>
    </w:p>
    <w:p>
      <w:pPr>
        <w:rPr>
          <w:rFonts w:cs="宋体"/>
          <w:b/>
          <w:bCs/>
          <w:i/>
          <w:iCs/>
        </w:rPr>
      </w:pPr>
      <w:r>
        <w:rPr>
          <w:rFonts w:hint="eastAsia" w:cs="宋体"/>
          <w:b/>
          <w:bCs/>
          <w:i/>
          <w:iCs/>
        </w:rPr>
        <w:t>分析：。</w:t>
      </w:r>
    </w:p>
    <w:p>
      <w:pPr>
        <w:pStyle w:val="17"/>
        <w:numPr>
          <w:ilvl w:val="0"/>
          <w:numId w:val="3"/>
        </w:numPr>
        <w:ind w:firstLineChars="0"/>
        <w:outlineLvl w:val="1"/>
        <w:rPr>
          <w:b/>
        </w:rPr>
      </w:pPr>
      <w:r>
        <w:rPr>
          <w:b/>
        </w:rPr>
        <w:t>新款沃尔沃S90</w:t>
      </w:r>
    </w:p>
    <w:tbl>
      <w:tblPr>
        <w:tblStyle w:val="8"/>
        <w:tblW w:w="0" w:type="auto"/>
        <w:tblCellSpacing w:w="15" w:type="dxa"/>
        <w:tblInd w:w="0" w:type="dxa"/>
        <w:tblLayout w:type="autofit"/>
        <w:tblCellMar>
          <w:top w:w="15" w:type="dxa"/>
          <w:left w:w="15" w:type="dxa"/>
          <w:bottom w:w="15" w:type="dxa"/>
          <w:right w:w="15" w:type="dxa"/>
        </w:tblCellMar>
      </w:tblPr>
      <w:tblGrid>
        <w:gridCol w:w="81"/>
        <w:gridCol w:w="4650"/>
        <w:gridCol w:w="81"/>
      </w:tblGrid>
      <w:tr>
        <w:tblPrEx>
          <w:tblCellMar>
            <w:top w:w="15" w:type="dxa"/>
            <w:left w:w="15" w:type="dxa"/>
            <w:bottom w:w="15" w:type="dxa"/>
            <w:right w:w="15" w:type="dxa"/>
          </w:tblCellMar>
        </w:tblPrEx>
        <w:trPr>
          <w:tblCellSpacing w:w="15" w:type="dxa"/>
        </w:trPr>
        <w:tc>
          <w:tcPr>
            <w:tcW w:w="0" w:type="auto"/>
            <w:tcBorders>
              <w:top w:val="nil"/>
              <w:left w:val="nil"/>
              <w:bottom w:val="nil"/>
              <w:right w:val="nil"/>
            </w:tcBorders>
          </w:tcPr>
          <w:p>
            <w:pPr>
              <w:widowControl/>
              <w:jc w:val="left"/>
              <w:rPr>
                <w:rFonts w:ascii="宋体" w:hAnsi="宋体" w:eastAsia="宋体" w:cs="宋体"/>
                <w:kern w:val="0"/>
                <w:sz w:val="24"/>
              </w:rPr>
            </w:pPr>
          </w:p>
        </w:tc>
        <w:tc>
          <w:tcPr>
            <w:tcW w:w="0" w:type="auto"/>
            <w:tcBorders>
              <w:top w:val="nil"/>
              <w:left w:val="nil"/>
              <w:bottom w:val="nil"/>
              <w:right w:val="nil"/>
            </w:tcBorders>
          </w:tcPr>
          <w:p>
            <w:pPr>
              <w:widowControl/>
              <w:jc w:val="left"/>
              <w:rPr>
                <w:rFonts w:ascii="微软雅黑" w:hAnsi="微软雅黑" w:eastAsia="微软雅黑" w:cs="宋体"/>
                <w:color w:val="000000"/>
                <w:kern w:val="0"/>
                <w:sz w:val="27"/>
                <w:szCs w:val="27"/>
              </w:rPr>
            </w:pPr>
            <w:r>
              <w:rPr>
                <w:rFonts w:ascii="微软雅黑" w:hAnsi="微软雅黑" w:eastAsia="微软雅黑" w:cs="宋体"/>
                <w:color w:val="000000"/>
                <w:kern w:val="0"/>
                <w:sz w:val="27"/>
                <w:szCs w:val="27"/>
              </w:rPr>
              <w:drawing>
                <wp:inline distT="0" distB="0" distL="0" distR="0">
                  <wp:extent cx="2914650" cy="1536700"/>
                  <wp:effectExtent l="0" t="0" r="0" b="6350"/>
                  <wp:docPr id="5" name="图片 5" descr="http://58.246.65.10:8231/UploadFile/20200811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http://58.246.65.10:8231/UploadFile/2020081101.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a:xfrm>
                            <a:off x="0" y="0"/>
                            <a:ext cx="2917825" cy="1538964"/>
                          </a:xfrm>
                          <a:prstGeom prst="rect">
                            <a:avLst/>
                          </a:prstGeom>
                          <a:noFill/>
                          <a:ln>
                            <a:noFill/>
                          </a:ln>
                        </pic:spPr>
                      </pic:pic>
                    </a:graphicData>
                  </a:graphic>
                </wp:inline>
              </w:drawing>
            </w:r>
          </w:p>
        </w:tc>
        <w:tc>
          <w:tcPr>
            <w:tcW w:w="0" w:type="auto"/>
            <w:tcBorders>
              <w:top w:val="nil"/>
              <w:left w:val="nil"/>
              <w:bottom w:val="nil"/>
              <w:right w:val="nil"/>
            </w:tcBorders>
          </w:tcPr>
          <w:p>
            <w:pPr>
              <w:widowControl/>
              <w:jc w:val="left"/>
              <w:rPr>
                <w:rFonts w:ascii="微软雅黑" w:hAnsi="微软雅黑" w:eastAsia="微软雅黑" w:cs="宋体"/>
                <w:color w:val="000000"/>
                <w:kern w:val="0"/>
                <w:sz w:val="27"/>
                <w:szCs w:val="27"/>
              </w:rPr>
            </w:pPr>
          </w:p>
        </w:tc>
      </w:tr>
    </w:tbl>
    <w:p>
      <w:r>
        <w:t>8月10日，新款沃尔沃S90上市，新车共推7款，售价区间为40.69万-61.39万元。</w:t>
      </w:r>
    </w:p>
    <w:p>
      <w:r>
        <w:rPr>
          <w:rFonts w:hint="eastAsia"/>
        </w:rPr>
        <w:t>外观方面，新车采用直瀑式中网，搭配“雷神之锤”设计风格前</w:t>
      </w:r>
      <w:r>
        <w:t>LED灯组，前保险杠采用横向贯穿车头的镀铬装饰条。</w:t>
      </w:r>
    </w:p>
    <w:p>
      <w:r>
        <w:rPr>
          <w:rFonts w:hint="eastAsia"/>
        </w:rPr>
        <w:t>配置方面，新车配备</w:t>
      </w:r>
      <w:r>
        <w:t>ACC自适应巡航、自适应底盘、盲点监测辅助、车道保持、碰撞预警、对向来车智能避让、VolvoOnCall随车管家等。</w:t>
      </w:r>
    </w:p>
    <w:p>
      <w:r>
        <w:rPr>
          <w:rFonts w:hint="eastAsia"/>
        </w:rPr>
        <w:t>动力方面，新车搭载</w:t>
      </w:r>
      <w:r>
        <w:t>2.0T发动机以及由2.0T发动机和电动机组成的插混系统，匹配8TIP变速箱。</w:t>
      </w:r>
    </w:p>
    <w:p>
      <w:pPr>
        <w:rPr>
          <w:rFonts w:cs="宋体"/>
          <w:b/>
          <w:bCs/>
          <w:i/>
          <w:iCs/>
        </w:rPr>
      </w:pPr>
      <w:r>
        <w:rPr>
          <w:rFonts w:hint="eastAsia" w:cs="宋体"/>
          <w:b/>
          <w:bCs/>
          <w:i/>
          <w:iCs/>
        </w:rPr>
        <w:t>分析：。</w:t>
      </w:r>
    </w:p>
    <w:p>
      <w:pPr>
        <w:pStyle w:val="17"/>
        <w:numPr>
          <w:ilvl w:val="0"/>
          <w:numId w:val="3"/>
        </w:numPr>
        <w:ind w:firstLineChars="0"/>
        <w:outlineLvl w:val="1"/>
        <w:rPr>
          <w:b/>
        </w:rPr>
      </w:pPr>
      <w:r>
        <w:rPr>
          <w:b/>
        </w:rPr>
        <w:t>长安欧尚X7EV</w:t>
      </w:r>
    </w:p>
    <w:tbl>
      <w:tblPr>
        <w:tblStyle w:val="8"/>
        <w:tblW w:w="0" w:type="auto"/>
        <w:tblCellSpacing w:w="15" w:type="dxa"/>
        <w:tblInd w:w="0" w:type="dxa"/>
        <w:tblLayout w:type="autofit"/>
        <w:tblCellMar>
          <w:top w:w="15" w:type="dxa"/>
          <w:left w:w="15" w:type="dxa"/>
          <w:bottom w:w="15" w:type="dxa"/>
          <w:right w:w="15" w:type="dxa"/>
        </w:tblCellMar>
      </w:tblPr>
      <w:tblGrid>
        <w:gridCol w:w="81"/>
        <w:gridCol w:w="3042"/>
        <w:gridCol w:w="81"/>
      </w:tblGrid>
      <w:tr>
        <w:tblPrEx>
          <w:tblCellMar>
            <w:top w:w="15" w:type="dxa"/>
            <w:left w:w="15" w:type="dxa"/>
            <w:bottom w:w="15" w:type="dxa"/>
            <w:right w:w="15" w:type="dxa"/>
          </w:tblCellMar>
        </w:tblPrEx>
        <w:trPr>
          <w:tblCellSpacing w:w="15" w:type="dxa"/>
        </w:trPr>
        <w:tc>
          <w:tcPr>
            <w:tcW w:w="0" w:type="auto"/>
            <w:tcBorders>
              <w:top w:val="nil"/>
              <w:left w:val="nil"/>
              <w:bottom w:val="nil"/>
              <w:right w:val="nil"/>
            </w:tcBorders>
          </w:tcPr>
          <w:p>
            <w:pPr>
              <w:widowControl/>
              <w:jc w:val="left"/>
              <w:rPr>
                <w:rFonts w:ascii="宋体" w:hAnsi="宋体" w:eastAsia="宋体" w:cs="宋体"/>
                <w:kern w:val="0"/>
                <w:sz w:val="24"/>
              </w:rPr>
            </w:pPr>
          </w:p>
        </w:tc>
        <w:tc>
          <w:tcPr>
            <w:tcW w:w="0" w:type="auto"/>
            <w:tcBorders>
              <w:top w:val="nil"/>
              <w:left w:val="nil"/>
              <w:bottom w:val="nil"/>
              <w:right w:val="nil"/>
            </w:tcBorders>
          </w:tcPr>
          <w:p>
            <w:pPr>
              <w:widowControl/>
              <w:jc w:val="left"/>
              <w:rPr>
                <w:rFonts w:ascii="微软雅黑" w:hAnsi="微软雅黑" w:eastAsia="微软雅黑" w:cs="宋体"/>
                <w:color w:val="000000"/>
                <w:kern w:val="0"/>
                <w:sz w:val="27"/>
                <w:szCs w:val="27"/>
              </w:rPr>
            </w:pPr>
            <w:r>
              <w:rPr>
                <w:rFonts w:ascii="微软雅黑" w:hAnsi="微软雅黑" w:eastAsia="微软雅黑" w:cs="宋体"/>
                <w:color w:val="000000"/>
                <w:kern w:val="0"/>
                <w:sz w:val="27"/>
                <w:szCs w:val="27"/>
              </w:rPr>
              <w:drawing>
                <wp:inline distT="0" distB="0" distL="0" distR="0">
                  <wp:extent cx="1893570" cy="1079500"/>
                  <wp:effectExtent l="0" t="0" r="0" b="6350"/>
                  <wp:docPr id="3" name="图片 3" descr="http://58.246.65.10:8231/UploadFile/20200813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http://58.246.65.10:8231/UploadFile/2020081305.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1897873" cy="1081850"/>
                          </a:xfrm>
                          <a:prstGeom prst="rect">
                            <a:avLst/>
                          </a:prstGeom>
                          <a:noFill/>
                          <a:ln>
                            <a:noFill/>
                          </a:ln>
                        </pic:spPr>
                      </pic:pic>
                    </a:graphicData>
                  </a:graphic>
                </wp:inline>
              </w:drawing>
            </w:r>
          </w:p>
        </w:tc>
        <w:tc>
          <w:tcPr>
            <w:tcW w:w="0" w:type="auto"/>
            <w:tcBorders>
              <w:top w:val="nil"/>
              <w:left w:val="nil"/>
              <w:bottom w:val="nil"/>
              <w:right w:val="nil"/>
            </w:tcBorders>
          </w:tcPr>
          <w:p>
            <w:pPr>
              <w:widowControl/>
              <w:jc w:val="left"/>
              <w:rPr>
                <w:rFonts w:ascii="微软雅黑" w:hAnsi="微软雅黑" w:eastAsia="微软雅黑" w:cs="宋体"/>
                <w:color w:val="000000"/>
                <w:kern w:val="0"/>
                <w:sz w:val="27"/>
                <w:szCs w:val="27"/>
              </w:rPr>
            </w:pPr>
          </w:p>
        </w:tc>
      </w:tr>
    </w:tbl>
    <w:p>
      <w:r>
        <w:t>8月12日，长安欧尚X7EV上市，新车共推3款，补贴后售价区间为15.99万-17.99万元，享受国补2.025万元。</w:t>
      </w:r>
    </w:p>
    <w:p>
      <w:r>
        <w:rPr>
          <w:rFonts w:hint="eastAsia"/>
        </w:rPr>
        <w:t>外观方面，新车封闭式格栅采用双色设计，格栅边缘饰条向两侧扩散并与头灯贯穿。</w:t>
      </w:r>
    </w:p>
    <w:p>
      <w:r>
        <w:rPr>
          <w:rFonts w:hint="eastAsia"/>
        </w:rPr>
        <w:t>内饰方面，新车采用环抱式设计、撞色处理，中控台采用大面积软包拼色搭配，并以银色饰条装点。</w:t>
      </w:r>
    </w:p>
    <w:p>
      <w:r>
        <w:rPr>
          <w:rFonts w:hint="eastAsia"/>
        </w:rPr>
        <w:t>配置方面，新车配备全液晶仪表、大尺寸中控液晶屏、手机无线充电、电子手刹、</w:t>
      </w:r>
      <w:r>
        <w:t>360全景影像以及旋钮式换挡等。</w:t>
      </w:r>
    </w:p>
    <w:p>
      <w:r>
        <w:rPr>
          <w:rFonts w:hint="eastAsia"/>
        </w:rPr>
        <w:t>动力方面，新车搭载电动机，</w:t>
      </w:r>
      <w:r>
        <w:t>NEDC续航为405km。</w:t>
      </w:r>
    </w:p>
    <w:p>
      <w:pPr>
        <w:rPr>
          <w:rFonts w:cs="宋体"/>
          <w:b/>
          <w:bCs/>
          <w:i/>
          <w:iCs/>
        </w:rPr>
      </w:pPr>
      <w:r>
        <w:rPr>
          <w:rFonts w:hint="eastAsia" w:cs="宋体"/>
          <w:b/>
          <w:bCs/>
          <w:i/>
          <w:iCs/>
        </w:rPr>
        <w:t>分析：。</w:t>
      </w:r>
    </w:p>
    <w:p>
      <w:pPr>
        <w:pStyle w:val="17"/>
        <w:numPr>
          <w:ilvl w:val="0"/>
          <w:numId w:val="3"/>
        </w:numPr>
        <w:ind w:firstLineChars="0"/>
        <w:outlineLvl w:val="1"/>
        <w:rPr>
          <w:b/>
        </w:rPr>
      </w:pPr>
      <w:r>
        <w:rPr>
          <w:b/>
        </w:rPr>
        <w:t>长安逸动PLUS新车型</w:t>
      </w:r>
    </w:p>
    <w:tbl>
      <w:tblPr>
        <w:tblStyle w:val="8"/>
        <w:tblW w:w="0" w:type="auto"/>
        <w:tblCellSpacing w:w="15" w:type="dxa"/>
        <w:tblInd w:w="0" w:type="dxa"/>
        <w:tblLayout w:type="autofit"/>
        <w:tblCellMar>
          <w:top w:w="15" w:type="dxa"/>
          <w:left w:w="15" w:type="dxa"/>
          <w:bottom w:w="15" w:type="dxa"/>
          <w:right w:w="15" w:type="dxa"/>
        </w:tblCellMar>
      </w:tblPr>
      <w:tblGrid>
        <w:gridCol w:w="81"/>
        <w:gridCol w:w="4626"/>
        <w:gridCol w:w="81"/>
      </w:tblGrid>
      <w:tr>
        <w:tblPrEx>
          <w:tblCellMar>
            <w:top w:w="15" w:type="dxa"/>
            <w:left w:w="15" w:type="dxa"/>
            <w:bottom w:w="15" w:type="dxa"/>
            <w:right w:w="15" w:type="dxa"/>
          </w:tblCellMar>
        </w:tblPrEx>
        <w:trPr>
          <w:tblCellSpacing w:w="15" w:type="dxa"/>
        </w:trPr>
        <w:tc>
          <w:tcPr>
            <w:tcW w:w="0" w:type="auto"/>
            <w:tcBorders>
              <w:top w:val="nil"/>
              <w:left w:val="nil"/>
              <w:bottom w:val="nil"/>
              <w:right w:val="nil"/>
            </w:tcBorders>
          </w:tcPr>
          <w:p>
            <w:pPr>
              <w:widowControl/>
              <w:jc w:val="left"/>
              <w:rPr>
                <w:rFonts w:ascii="宋体" w:hAnsi="宋体" w:eastAsia="宋体" w:cs="宋体"/>
                <w:kern w:val="0"/>
                <w:sz w:val="24"/>
              </w:rPr>
            </w:pPr>
          </w:p>
        </w:tc>
        <w:tc>
          <w:tcPr>
            <w:tcW w:w="0" w:type="auto"/>
            <w:tcBorders>
              <w:top w:val="nil"/>
              <w:left w:val="nil"/>
              <w:bottom w:val="nil"/>
              <w:right w:val="nil"/>
            </w:tcBorders>
          </w:tcPr>
          <w:p>
            <w:pPr>
              <w:widowControl/>
              <w:jc w:val="left"/>
              <w:rPr>
                <w:rFonts w:ascii="微软雅黑" w:hAnsi="微软雅黑" w:eastAsia="微软雅黑" w:cs="宋体"/>
                <w:color w:val="000000"/>
                <w:kern w:val="0"/>
                <w:sz w:val="27"/>
                <w:szCs w:val="27"/>
              </w:rPr>
            </w:pPr>
            <w:r>
              <w:rPr>
                <w:rFonts w:ascii="微软雅黑" w:hAnsi="微软雅黑" w:eastAsia="微软雅黑" w:cs="宋体"/>
                <w:color w:val="000000"/>
                <w:kern w:val="0"/>
                <w:sz w:val="27"/>
                <w:szCs w:val="27"/>
              </w:rPr>
              <w:drawing>
                <wp:inline distT="0" distB="0" distL="0" distR="0">
                  <wp:extent cx="2899410" cy="1473200"/>
                  <wp:effectExtent l="0" t="0" r="0" b="0"/>
                  <wp:docPr id="2" name="图片 2" descr="http://58.246.65.10:8231/UploadFile/20200813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http://58.246.65.10:8231/UploadFile/2020081302.jp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2901537" cy="1474082"/>
                          </a:xfrm>
                          <a:prstGeom prst="rect">
                            <a:avLst/>
                          </a:prstGeom>
                          <a:noFill/>
                          <a:ln>
                            <a:noFill/>
                          </a:ln>
                        </pic:spPr>
                      </pic:pic>
                    </a:graphicData>
                  </a:graphic>
                </wp:inline>
              </w:drawing>
            </w:r>
          </w:p>
        </w:tc>
        <w:tc>
          <w:tcPr>
            <w:tcW w:w="0" w:type="auto"/>
            <w:tcBorders>
              <w:top w:val="nil"/>
              <w:left w:val="nil"/>
              <w:bottom w:val="nil"/>
              <w:right w:val="nil"/>
            </w:tcBorders>
          </w:tcPr>
          <w:p>
            <w:pPr>
              <w:widowControl/>
              <w:jc w:val="left"/>
              <w:rPr>
                <w:rFonts w:ascii="微软雅黑" w:hAnsi="微软雅黑" w:eastAsia="微软雅黑" w:cs="宋体"/>
                <w:color w:val="000000"/>
                <w:kern w:val="0"/>
                <w:sz w:val="27"/>
                <w:szCs w:val="27"/>
              </w:rPr>
            </w:pPr>
          </w:p>
        </w:tc>
      </w:tr>
    </w:tbl>
    <w:p>
      <w:r>
        <w:t>8月12日，长安逸动PLUS新车型上市，新车售价为8.89万元。</w:t>
      </w:r>
    </w:p>
    <w:p>
      <w:r>
        <w:rPr>
          <w:rFonts w:hint="eastAsia"/>
        </w:rPr>
        <w:t>外观方面，新车采用大尺寸格栅设计，前大灯运用“星瞳之眼”的造型设计，内部熏黑处理后与前格栅融为一体。</w:t>
      </w:r>
    </w:p>
    <w:p>
      <w:r>
        <w:rPr>
          <w:rFonts w:hint="eastAsia"/>
        </w:rPr>
        <w:t>配置方面，新车配备遥控钥匙远程启动、钥匙遥控门锁、胎压监测系统、定速巡航系统等。</w:t>
      </w:r>
    </w:p>
    <w:p>
      <w:r>
        <w:rPr>
          <w:rFonts w:hint="eastAsia"/>
        </w:rPr>
        <w:t>动力方面，新车搭载</w:t>
      </w:r>
      <w:r>
        <w:t>1.4T发动机，匹配7DCT变速箱。</w:t>
      </w:r>
    </w:p>
    <w:p>
      <w:pPr>
        <w:rPr>
          <w:rFonts w:cs="宋体"/>
          <w:b/>
          <w:bCs/>
          <w:i/>
          <w:iCs/>
        </w:rPr>
      </w:pPr>
      <w:r>
        <w:rPr>
          <w:rFonts w:hint="eastAsia" w:cs="宋体"/>
          <w:b/>
          <w:bCs/>
          <w:i/>
          <w:iCs/>
        </w:rPr>
        <w:t>分析：。</w:t>
      </w:r>
    </w:p>
    <w:p>
      <w:pPr>
        <w:rPr>
          <w:rFonts w:cs="宋体"/>
          <w:b/>
          <w:bCs/>
          <w:i/>
          <w:iCs/>
        </w:rPr>
      </w:pPr>
    </w:p>
    <w:p>
      <w:pPr>
        <w:pStyle w:val="17"/>
        <w:numPr>
          <w:ilvl w:val="0"/>
          <w:numId w:val="4"/>
        </w:numPr>
        <w:ind w:firstLineChars="0"/>
        <w:outlineLvl w:val="0"/>
        <w:rPr>
          <w:b/>
        </w:rPr>
      </w:pPr>
      <w:r>
        <w:rPr>
          <w:rFonts w:hint="eastAsia" w:cs="宋体"/>
          <w:b/>
          <w:bCs/>
        </w:rPr>
        <w:t>宏观经济与政策</w:t>
      </w:r>
    </w:p>
    <w:p>
      <w:pPr>
        <w:pStyle w:val="17"/>
        <w:numPr>
          <w:ilvl w:val="0"/>
          <w:numId w:val="5"/>
        </w:numPr>
        <w:ind w:firstLineChars="0"/>
        <w:outlineLvl w:val="1"/>
        <w:rPr>
          <w:b/>
        </w:rPr>
      </w:pPr>
      <w:r>
        <w:rPr>
          <w:rFonts w:hint="eastAsia"/>
          <w:b/>
        </w:rPr>
        <w:t>2020年1—7月份全国固定资产投资（不含农户）下降1.6%</w:t>
      </w:r>
    </w:p>
    <w:p>
      <w:r>
        <w:rPr>
          <w:rFonts w:hint="eastAsia"/>
        </w:rPr>
        <w:t>1—7月份，全国固定资产投资（不含农户）329214亿元，同比下降1.6%，降幅比1—6月份收窄1.5个百分点。其中，民间固定资产投资184186亿元，下降5.7%，降幅收窄1.6个百分点。从环比速度看，7月份固定资产投资（不含农户）增长4.85%。</w:t>
      </w:r>
    </w:p>
    <w:p>
      <w:pPr>
        <w:rPr>
          <w:rFonts w:cs="宋体"/>
          <w:b/>
          <w:bCs/>
          <w:i/>
          <w:iCs/>
        </w:rPr>
      </w:pPr>
      <w:r>
        <w:rPr>
          <w:rFonts w:hint="eastAsia" w:cs="宋体"/>
          <w:b/>
          <w:bCs/>
          <w:i/>
          <w:iCs/>
        </w:rPr>
        <w:t>分析：。</w:t>
      </w:r>
    </w:p>
    <w:p>
      <w:pPr>
        <w:pStyle w:val="17"/>
        <w:numPr>
          <w:ilvl w:val="0"/>
          <w:numId w:val="5"/>
        </w:numPr>
        <w:ind w:firstLineChars="0"/>
        <w:outlineLvl w:val="1"/>
        <w:rPr>
          <w:b/>
        </w:rPr>
      </w:pPr>
      <w:r>
        <w:rPr>
          <w:rFonts w:hint="eastAsia"/>
          <w:b/>
        </w:rPr>
        <w:t>2020年7月份规模以上工业增加值增长4.8%</w:t>
      </w:r>
    </w:p>
    <w:p>
      <w:r>
        <w:rPr>
          <w:rFonts w:hint="eastAsia"/>
        </w:rPr>
        <w:t>7月份，规模以上工业增加值同比实际增长4.8%（以下增加值增速均为扣除价格因素的实际增长率），增速与6月份持平。从环比看，7月份，规模以上工业增加值比上月增长0.98%。1—7月份，规模以上工业增加值同比下降0.4%。</w:t>
      </w:r>
    </w:p>
    <w:p>
      <w:pPr>
        <w:rPr>
          <w:rFonts w:cs="宋体"/>
          <w:b/>
          <w:bCs/>
          <w:i/>
          <w:iCs/>
        </w:rPr>
      </w:pPr>
      <w:r>
        <w:rPr>
          <w:rFonts w:hint="eastAsia" w:cs="宋体"/>
          <w:b/>
          <w:bCs/>
          <w:i/>
          <w:iCs/>
        </w:rPr>
        <w:t>分析：。</w:t>
      </w:r>
    </w:p>
    <w:p>
      <w:pPr>
        <w:pStyle w:val="17"/>
        <w:numPr>
          <w:ilvl w:val="0"/>
          <w:numId w:val="5"/>
        </w:numPr>
        <w:ind w:firstLineChars="0"/>
        <w:outlineLvl w:val="1"/>
        <w:rPr>
          <w:b/>
        </w:rPr>
      </w:pPr>
      <w:r>
        <w:rPr>
          <w:rFonts w:hint="eastAsia"/>
          <w:b/>
        </w:rPr>
        <w:t>2020年7月份社会消费品零售总额下降1.1%</w:t>
      </w:r>
    </w:p>
    <w:p>
      <w:r>
        <w:rPr>
          <w:rFonts w:hint="eastAsia"/>
        </w:rPr>
        <w:t>7月份，社会消费品零售总额32203亿元，同比下降1.1%（扣除价格因素实际下降2.7%，以下除特殊说明外均为名义增长），降幅比上月收窄0.7个百分点。其中，除汽车以外的消费品零售额28894亿元，下降2.4%。</w:t>
      </w:r>
    </w:p>
    <w:p>
      <w:pPr>
        <w:rPr>
          <w:rFonts w:cs="宋体"/>
          <w:b/>
          <w:bCs/>
          <w:i/>
          <w:iCs/>
        </w:rPr>
      </w:pPr>
      <w:r>
        <w:rPr>
          <w:rFonts w:hint="eastAsia" w:cs="宋体"/>
          <w:b/>
          <w:bCs/>
          <w:i/>
          <w:iCs/>
        </w:rPr>
        <w:t>分析：。</w:t>
      </w:r>
    </w:p>
    <w:p>
      <w:pPr>
        <w:jc w:val="left"/>
        <w:outlineLvl w:val="1"/>
        <w:rPr>
          <w:b/>
        </w:rPr>
      </w:pPr>
      <w:r>
        <w:rPr>
          <w:rFonts w:hint="eastAsia"/>
          <w:b/>
        </w:rPr>
        <w:t>4.发改委</w:t>
      </w:r>
      <w:r>
        <w:rPr>
          <w:b/>
        </w:rPr>
        <w:t>:8月7日国内成品油价格不调整</w:t>
      </w:r>
    </w:p>
    <w:p>
      <w:r>
        <w:rPr>
          <w:rFonts w:hint="eastAsia"/>
        </w:rPr>
        <w:t>国家发改委宣布，自</w:t>
      </w:r>
      <w:r>
        <w:t>2020年7月24日以来，国际市场油价小幅波动，按现行国内成品油价格机制测算，8月7日的前10个工作日平均价格与7月24日前10个工作日平均价格相比，同时考虑7月24日未调价金额，累计调价金额每吨不足50元。根据《石油价格管理办法》第七条规定，本次汽、柴油价格不作调整，未调金额纳入下次调价时累加或冲抵。</w:t>
      </w:r>
    </w:p>
    <w:p>
      <w:pPr>
        <w:rPr>
          <w:rFonts w:cs="宋体"/>
          <w:b/>
          <w:bCs/>
          <w:i/>
          <w:iCs/>
        </w:rPr>
      </w:pPr>
      <w:r>
        <w:rPr>
          <w:rFonts w:hint="eastAsia" w:cs="宋体"/>
          <w:b/>
          <w:bCs/>
          <w:i/>
          <w:iCs/>
        </w:rPr>
        <w:t>分析：。</w:t>
      </w:r>
    </w:p>
    <w:p>
      <w:pPr>
        <w:jc w:val="left"/>
        <w:outlineLvl w:val="1"/>
        <w:rPr>
          <w:b/>
        </w:rPr>
      </w:pPr>
      <w:r>
        <w:rPr>
          <w:rFonts w:hint="eastAsia"/>
          <w:b/>
        </w:rPr>
        <w:t>5.工信部就燃气系统安装和客车结构两标准征求意见</w:t>
      </w:r>
    </w:p>
    <w:p>
      <w:r>
        <w:t>工业和信息化部装备工业一司公开征求对强制性国家标准《燃气汽车燃气系统的安装要求（征求意见稿）》和《客车结构安全要求&lt;第1号修改单&gt;（征求意见稿）》的意见。征求意见截止2020年10月12日。</w:t>
      </w:r>
    </w:p>
    <w:p>
      <w:pPr>
        <w:rPr>
          <w:rFonts w:cs="宋体"/>
          <w:b/>
          <w:bCs/>
          <w:i/>
          <w:iCs/>
        </w:rPr>
      </w:pPr>
      <w:r>
        <w:rPr>
          <w:rFonts w:hint="eastAsia" w:cs="宋体"/>
          <w:b/>
          <w:bCs/>
          <w:i/>
          <w:iCs/>
        </w:rPr>
        <w:t>分析：。</w:t>
      </w:r>
    </w:p>
    <w:p>
      <w:pPr>
        <w:jc w:val="left"/>
        <w:outlineLvl w:val="1"/>
        <w:rPr>
          <w:b/>
        </w:rPr>
      </w:pPr>
      <w:r>
        <w:rPr>
          <w:b/>
        </w:rPr>
        <w:t>6</w:t>
      </w:r>
      <w:r>
        <w:rPr>
          <w:rFonts w:hint="eastAsia"/>
          <w:b/>
        </w:rPr>
        <w:t>.发改委就汽车零部件再制造管理暂行办法公开征求意见</w:t>
      </w:r>
    </w:p>
    <w:p>
      <w:r>
        <w:t>8月11日，国家发改委公布关于《汽车零部件再制造管理暂行办法（征求意见稿）》。征求意见稿鼓励汽车整车生产企业通过售后服务体系回收旧机动车零部件用于再制造，同时鼓励专业化旧件回收公司从维修渠道为再制造企业提供符合要求的旧件。</w:t>
      </w:r>
    </w:p>
    <w:p>
      <w:pPr>
        <w:rPr>
          <w:rFonts w:cs="宋体"/>
          <w:b/>
          <w:bCs/>
          <w:i/>
          <w:iCs/>
        </w:rPr>
      </w:pPr>
      <w:r>
        <w:rPr>
          <w:rFonts w:hint="eastAsia" w:cs="宋体"/>
          <w:b/>
          <w:bCs/>
          <w:i/>
          <w:iCs/>
        </w:rPr>
        <w:t>分析：。</w:t>
      </w:r>
    </w:p>
    <w:p>
      <w:pPr>
        <w:jc w:val="left"/>
        <w:outlineLvl w:val="1"/>
        <w:rPr>
          <w:b/>
        </w:rPr>
      </w:pPr>
      <w:r>
        <w:rPr>
          <w:rFonts w:hint="eastAsia"/>
          <w:b/>
        </w:rPr>
        <w:t>7.交通部：鼓励在重点高速公路服务区建设超快充</w:t>
      </w:r>
    </w:p>
    <w:p>
      <w:r>
        <w:t>8月6日，交通运输部发布《关于推动交通运输领域新型基础设施建设的指导意见》，引导在城市群等重点高速公路服务区建设超快充、大功率电动汽车充电设施。深化高速公路电子不停车收费系统（ETC）门架应用，推进车路协同等设施建设，丰富车路协同应用场景。</w:t>
      </w:r>
    </w:p>
    <w:p>
      <w:pPr>
        <w:rPr>
          <w:rFonts w:cs="宋体"/>
          <w:b/>
          <w:bCs/>
          <w:i/>
          <w:iCs/>
        </w:rPr>
      </w:pPr>
      <w:r>
        <w:rPr>
          <w:rFonts w:hint="eastAsia" w:cs="宋体"/>
          <w:b/>
          <w:bCs/>
          <w:i/>
          <w:iCs/>
        </w:rPr>
        <w:t>分析：。</w:t>
      </w:r>
    </w:p>
    <w:p>
      <w:pPr>
        <w:jc w:val="left"/>
        <w:outlineLvl w:val="1"/>
        <w:rPr>
          <w:b/>
        </w:rPr>
      </w:pPr>
      <w:r>
        <w:rPr>
          <w:rFonts w:hint="eastAsia"/>
          <w:b/>
        </w:rPr>
        <w:t>8.云南：</w:t>
      </w:r>
      <w:r>
        <w:rPr>
          <w:b/>
        </w:rPr>
        <w:t>2021年，新能源车企年产销达5万辆，奖励销售额0.5%</w:t>
      </w:r>
    </w:p>
    <w:p>
      <w:r>
        <w:rPr>
          <w:rFonts w:hint="eastAsia"/>
        </w:rPr>
        <w:t>云南省人民政府办公厅发布关于印发云南省加快新能源汽车产业发展和推广应用若干政策措施的通知。</w:t>
      </w:r>
      <w:r>
        <w:t>2021年底前，新能源汽车生产企业首次年产销量达到5万辆的，按照销售额的0.5%给予一次性奖励。2022年底前，新能源汽车生产企业首次年产销量达到10万辆的，按照销售额的1%给予一次性奖励，用于支持企业技术改造和研发创新。</w:t>
      </w:r>
    </w:p>
    <w:p>
      <w:pPr>
        <w:rPr>
          <w:rFonts w:cs="宋体"/>
          <w:b/>
          <w:bCs/>
          <w:i/>
          <w:iCs/>
        </w:rPr>
      </w:pPr>
      <w:r>
        <w:rPr>
          <w:rFonts w:hint="eastAsia" w:cs="宋体"/>
          <w:b/>
          <w:bCs/>
          <w:i/>
          <w:iCs/>
        </w:rPr>
        <w:t>分析：。</w:t>
      </w:r>
    </w:p>
    <w:p>
      <w:pPr>
        <w:jc w:val="left"/>
        <w:outlineLvl w:val="1"/>
        <w:rPr>
          <w:b/>
        </w:rPr>
      </w:pPr>
      <w:r>
        <w:rPr>
          <w:rFonts w:hint="eastAsia"/>
          <w:b/>
        </w:rPr>
        <w:t>9.海南：充换电基础设施第一批补贴金额为</w:t>
      </w:r>
      <w:r>
        <w:rPr>
          <w:b/>
        </w:rPr>
        <w:t>1869.42万元</w:t>
      </w:r>
    </w:p>
    <w:p>
      <w:r>
        <w:t>8月13日，海南省发布了《海南省发展和改革委员会关于全省充换电基础设施及省级平台第一批建设及运营补贴的公示》，市县政府上报了第一批补贴金额为1869.42万元，其中建设补贴765.54万元，运营补贴为1103.89万元。</w:t>
      </w:r>
    </w:p>
    <w:p>
      <w:pPr>
        <w:rPr>
          <w:rFonts w:cs="宋体"/>
          <w:b/>
          <w:bCs/>
          <w:i/>
          <w:iCs/>
        </w:rPr>
      </w:pPr>
      <w:r>
        <w:rPr>
          <w:rFonts w:hint="eastAsia" w:cs="宋体"/>
          <w:b/>
          <w:bCs/>
          <w:i/>
          <w:iCs/>
        </w:rPr>
        <w:t>分析：。</w:t>
      </w:r>
    </w:p>
    <w:p>
      <w:pPr>
        <w:jc w:val="left"/>
        <w:outlineLvl w:val="1"/>
        <w:rPr>
          <w:b/>
        </w:rPr>
      </w:pPr>
      <w:r>
        <w:rPr>
          <w:rFonts w:hint="eastAsia"/>
          <w:b/>
        </w:rPr>
        <w:t>1</w:t>
      </w:r>
      <w:r>
        <w:rPr>
          <w:b/>
        </w:rPr>
        <w:t>0</w:t>
      </w:r>
      <w:r>
        <w:rPr>
          <w:rFonts w:hint="eastAsia"/>
          <w:b/>
        </w:rPr>
        <w:t>.济南：</w:t>
      </w:r>
      <w:r>
        <w:rPr>
          <w:b/>
        </w:rPr>
        <w:t>2022年底，新能源汽车充电设施将突破5万</w:t>
      </w:r>
    </w:p>
    <w:p>
      <w:r>
        <w:rPr>
          <w:rFonts w:hint="eastAsia"/>
        </w:rPr>
        <w:t>济南市人民政府印发《关于加快推进全市新能源汽车充电基础设施建设的实施意见》，表示到</w:t>
      </w:r>
      <w:r>
        <w:t>2022年年底，全市充电基础设施保有量力争突破50,000个，基本建成布局合理、管理规范、智能高效的充电基础设施体系，形成统一开放、竞争有序的充换电服务市场，满足不同领域、不同层次的充换电需求。</w:t>
      </w:r>
    </w:p>
    <w:p>
      <w:pPr>
        <w:rPr>
          <w:rFonts w:cs="宋体"/>
          <w:b/>
          <w:bCs/>
          <w:i/>
          <w:iCs/>
        </w:rPr>
      </w:pPr>
      <w:r>
        <w:rPr>
          <w:rFonts w:hint="eastAsia" w:cs="宋体"/>
          <w:b/>
          <w:bCs/>
          <w:i/>
          <w:iCs/>
        </w:rPr>
        <w:t>分析：。</w:t>
      </w:r>
    </w:p>
    <w:p>
      <w:pPr>
        <w:outlineLvl w:val="1"/>
        <w:rPr>
          <w:b/>
        </w:rPr>
      </w:pPr>
      <w:r>
        <w:rPr>
          <w:rFonts w:hint="eastAsia"/>
          <w:b/>
        </w:rPr>
        <w:t>1</w:t>
      </w:r>
      <w:r>
        <w:rPr>
          <w:b/>
        </w:rPr>
        <w:t>1</w:t>
      </w:r>
      <w:r>
        <w:rPr>
          <w:rFonts w:hint="eastAsia"/>
          <w:b/>
        </w:rPr>
        <w:t>.海关总署：</w:t>
      </w:r>
      <w:r>
        <w:rPr>
          <w:b/>
        </w:rPr>
        <w:t>7月份外贸进出口2.93万亿元</w:t>
      </w:r>
    </w:p>
    <w:p>
      <w:r>
        <w:t>7月份，我国外贸进出口2.93万亿元，增长6.5%。今年前7个月，我国货物贸易进出口总值17.16万亿元，比去年同期下降1.7%；其中，出口9.4万亿元，下降0.9%；进口7.76万亿元，下降2.6%；贸易顺差1.64万亿元，增加8.1%。</w:t>
      </w:r>
    </w:p>
    <w:p>
      <w:pPr>
        <w:rPr>
          <w:rFonts w:cs="宋体"/>
          <w:b/>
          <w:bCs/>
          <w:i/>
          <w:iCs/>
        </w:rPr>
      </w:pPr>
      <w:r>
        <w:rPr>
          <w:rFonts w:hint="eastAsia" w:cs="宋体"/>
          <w:b/>
          <w:bCs/>
          <w:i/>
          <w:iCs/>
        </w:rPr>
        <w:t>分析：。</w:t>
      </w:r>
    </w:p>
    <w:p>
      <w:pPr>
        <w:outlineLvl w:val="1"/>
        <w:rPr>
          <w:b/>
        </w:rPr>
      </w:pPr>
      <w:r>
        <w:rPr>
          <w:rFonts w:hint="eastAsia"/>
          <w:b/>
        </w:rPr>
        <w:t>1</w:t>
      </w:r>
      <w:r>
        <w:rPr>
          <w:b/>
        </w:rPr>
        <w:t>2</w:t>
      </w:r>
      <w:r>
        <w:rPr>
          <w:rFonts w:hint="eastAsia"/>
          <w:b/>
        </w:rPr>
        <w:t>.央行：广义货币（</w:t>
      </w:r>
      <w:r>
        <w:rPr>
          <w:b/>
        </w:rPr>
        <w:t>M2）增长10.7%</w:t>
      </w:r>
    </w:p>
    <w:p>
      <w:r>
        <w:t>7月末，广义货币（M2）余额212.55万亿元，同比增长10.7%，增速比上月末低0.4个百分点；狭义货币（M1）余额59.12万亿元，同比增长6.9%；流通中货币（M0）余额7.99万亿元，同比增长9.9%。</w:t>
      </w:r>
    </w:p>
    <w:p>
      <w:pPr>
        <w:rPr>
          <w:rFonts w:cs="宋体"/>
          <w:b/>
          <w:bCs/>
          <w:i/>
          <w:iCs/>
        </w:rPr>
      </w:pPr>
      <w:r>
        <w:rPr>
          <w:rFonts w:hint="eastAsia" w:cs="宋体"/>
          <w:b/>
          <w:bCs/>
          <w:i/>
          <w:iCs/>
        </w:rPr>
        <w:t>分析：。</w:t>
      </w:r>
    </w:p>
    <w:p>
      <w:pPr>
        <w:rPr>
          <w:rFonts w:cs="宋体"/>
          <w:b/>
          <w:bCs/>
          <w:i/>
          <w:iCs/>
        </w:rPr>
      </w:pPr>
    </w:p>
    <w:p>
      <w:pPr>
        <w:pStyle w:val="17"/>
        <w:numPr>
          <w:ilvl w:val="0"/>
          <w:numId w:val="6"/>
        </w:numPr>
        <w:ind w:firstLineChars="0"/>
        <w:outlineLvl w:val="0"/>
        <w:rPr>
          <w:b/>
        </w:rPr>
      </w:pPr>
      <w:r>
        <w:rPr>
          <w:rFonts w:hint="eastAsia" w:cs="宋体"/>
          <w:b/>
          <w:bCs/>
        </w:rPr>
        <w:t>新品信息跟踪</w:t>
      </w:r>
    </w:p>
    <w:p>
      <w:pPr>
        <w:pStyle w:val="17"/>
        <w:numPr>
          <w:ilvl w:val="3"/>
          <w:numId w:val="7"/>
        </w:numPr>
        <w:ind w:left="426" w:firstLineChars="0"/>
        <w:outlineLvl w:val="1"/>
        <w:rPr>
          <w:b/>
        </w:rPr>
      </w:pPr>
      <w:r>
        <w:rPr>
          <w:rFonts w:hint="eastAsia"/>
          <w:b/>
        </w:rPr>
        <w:t>奔驰全新</w:t>
      </w:r>
      <w:r>
        <w:rPr>
          <w:b/>
        </w:rPr>
        <w:t>C级旅行版</w:t>
      </w:r>
    </w:p>
    <w:p>
      <w:r>
        <w:rPr>
          <w:color w:val="000000"/>
        </w:rPr>
        <w:drawing>
          <wp:inline distT="0" distB="0" distL="0" distR="0">
            <wp:extent cx="2286000" cy="1428750"/>
            <wp:effectExtent l="0" t="0" r="0" b="0"/>
            <wp:docPr id="24" name="图片 24" descr="http://dss.way-s.cn/news/net_images/autohome/19f8a4b4c8316ab6f33b062e685293c76d0d321a/1149469b6e76a0e25877e8a9fd74e2071dc46ec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http://dss.way-s.cn/news/net_images/autohome/19f8a4b4c8316ab6f33b062e685293c76d0d321a/1149469b6e76a0e25877e8a9fd74e2071dc46ecf.jp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2286000" cy="1428750"/>
                    </a:xfrm>
                    <a:prstGeom prst="rect">
                      <a:avLst/>
                    </a:prstGeom>
                    <a:noFill/>
                    <a:ln>
                      <a:noFill/>
                    </a:ln>
                  </pic:spPr>
                </pic:pic>
              </a:graphicData>
            </a:graphic>
          </wp:inline>
        </w:drawing>
      </w:r>
    </w:p>
    <w:p>
      <w:r>
        <w:t>新车有望同三厢轿车版本一起在2021年正式亮相。作为换代车型，新车会针对外观进行较大的调整。新车的前中网将会更换为最新的多边形样式，内部为单幅横向饰条，配合密集的直瀑式格栅。其他细节部分，新车换装了新造型的大灯，灯组整体面积更小。动力方面，新车基于MRA2后驱平台打造，预计会有一系列的四缸、六缸以及混动车型供消费者选择。</w:t>
      </w:r>
    </w:p>
    <w:p>
      <w:pPr>
        <w:rPr>
          <w:rFonts w:cs="宋体"/>
          <w:b/>
          <w:bCs/>
          <w:i/>
          <w:iCs/>
        </w:rPr>
      </w:pPr>
      <w:r>
        <w:rPr>
          <w:rFonts w:hint="eastAsia" w:cs="宋体"/>
          <w:b/>
          <w:bCs/>
          <w:i/>
          <w:iCs/>
        </w:rPr>
        <w:t>分析：。</w:t>
      </w:r>
    </w:p>
    <w:p>
      <w:pPr>
        <w:pStyle w:val="17"/>
        <w:numPr>
          <w:ilvl w:val="3"/>
          <w:numId w:val="7"/>
        </w:numPr>
        <w:ind w:left="426" w:firstLineChars="0"/>
        <w:outlineLvl w:val="1"/>
        <w:rPr>
          <w:b/>
        </w:rPr>
      </w:pPr>
      <w:r>
        <w:rPr>
          <w:b/>
        </w:rPr>
        <w:t>全新日产逍客</w:t>
      </w:r>
    </w:p>
    <w:p>
      <w:r>
        <w:rPr>
          <w:color w:val="000000"/>
        </w:rPr>
        <w:drawing>
          <wp:inline distT="0" distB="0" distL="0" distR="0">
            <wp:extent cx="2286000" cy="1428750"/>
            <wp:effectExtent l="0" t="0" r="0" b="0"/>
            <wp:docPr id="27" name="图片 27" descr="http://dss.way-s.cn/news/net_images/autohome/68d2cf39faaade7d6c628f136822179363226b7e/5b235f052b5751613e1fea328883681d64a19a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descr="http://dss.way-s.cn/news/net_images/autohome/68d2cf39faaade7d6c628f136822179363226b7e/5b235f052b5751613e1fea328883681d64a19a40.jp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2286000" cy="1428750"/>
                    </a:xfrm>
                    <a:prstGeom prst="rect">
                      <a:avLst/>
                    </a:prstGeom>
                    <a:noFill/>
                    <a:ln>
                      <a:noFill/>
                    </a:ln>
                  </pic:spPr>
                </pic:pic>
              </a:graphicData>
            </a:graphic>
          </wp:inline>
        </w:drawing>
      </w:r>
    </w:p>
    <w:p>
      <w:r>
        <w:rPr>
          <w:rFonts w:hint="eastAsia"/>
        </w:rPr>
        <w:t>据悉新车将于今年底发布，同时将在</w:t>
      </w:r>
      <w:r>
        <w:t>2021年初海外上市。新车在外观上采用了日产家族最新的V-Motion设计语言，其前格栅面积比现款车型增大。同时新车对前包围进行了重新设计，如大灯组、两侧的通风孔等与现款相比变动较大。车身轮廓变化不大，但后视镜位置等细节有所调整，同时采用了更为个性化的轮圈。从尾部看，车身后包围也有明显变化，如牌照区空间更大更立体，尾部大灯组、红色反光板等也进行重新设计等。动力方面，全新逍客或提供两种版本的混动车型，一种采用日产e-Power动力系统，另一</w:t>
      </w:r>
      <w:r>
        <w:rPr>
          <w:rFonts w:hint="eastAsia"/>
        </w:rPr>
        <w:t>种则采用三菱技术的插电式混合动力系统。新车将继续使用雷诺</w:t>
      </w:r>
      <w:r>
        <w:t>-日产-三菱联盟的CMF平台。</w:t>
      </w:r>
    </w:p>
    <w:p>
      <w:pPr>
        <w:rPr>
          <w:rFonts w:cs="宋体"/>
          <w:b/>
          <w:bCs/>
          <w:i/>
          <w:iCs/>
        </w:rPr>
      </w:pPr>
      <w:r>
        <w:rPr>
          <w:rFonts w:hint="eastAsia" w:cs="宋体"/>
          <w:b/>
          <w:bCs/>
          <w:i/>
          <w:iCs/>
        </w:rPr>
        <w:t>分析：。</w:t>
      </w:r>
    </w:p>
    <w:p>
      <w:pPr>
        <w:pStyle w:val="17"/>
        <w:numPr>
          <w:ilvl w:val="3"/>
          <w:numId w:val="7"/>
        </w:numPr>
        <w:ind w:left="426" w:firstLineChars="0"/>
        <w:outlineLvl w:val="1"/>
        <w:rPr>
          <w:b/>
        </w:rPr>
      </w:pPr>
      <w:r>
        <w:rPr>
          <w:rFonts w:hint="eastAsia"/>
          <w:b/>
        </w:rPr>
        <w:t>全新一代奥迪</w:t>
      </w:r>
      <w:r>
        <w:rPr>
          <w:b/>
        </w:rPr>
        <w:t>S3</w:t>
      </w:r>
    </w:p>
    <w:p>
      <w:r>
        <w:rPr>
          <w:color w:val="000000"/>
        </w:rPr>
        <w:drawing>
          <wp:inline distT="0" distB="0" distL="0" distR="0">
            <wp:extent cx="2286000" cy="1428750"/>
            <wp:effectExtent l="0" t="0" r="0" b="0"/>
            <wp:docPr id="23" name="图片 23" descr="http://dss.way-s.cn/news/net_images/autohome/b5cb818d194a835f96a5b7d1d6f6e4967aa7ed9f/a5cddb5f2a1100541a2c731d39b959e6703f70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http://dss.way-s.cn/news/net_images/autohome/b5cb818d194a835f96a5b7d1d6f6e4967aa7ed9f/a5cddb5f2a1100541a2c731d39b959e6703f7051.jp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2286000" cy="1428750"/>
                    </a:xfrm>
                    <a:prstGeom prst="rect">
                      <a:avLst/>
                    </a:prstGeom>
                    <a:noFill/>
                    <a:ln>
                      <a:noFill/>
                    </a:ln>
                  </pic:spPr>
                </pic:pic>
              </a:graphicData>
            </a:graphic>
          </wp:inline>
        </w:drawing>
      </w:r>
    </w:p>
    <w:p>
      <w:r>
        <w:t>新车将于今年10月开始交付。外观方面，两厢版与三厢版车型将使用同样的外观设计。新车前进气格栅将采用六边形的设计，并搭配了黑色的蜂窝网状中网造型。两侧造型凌厉的矩阵式LED大灯搭配前保险杠下方富有力量感的散热开口，让新车前脸富有强烈的攻击性。动力方面，新车将搭载2.0升涡轮增压四缸发动机，最大功率310马力（228千瓦），最大扭矩400牛·米。传动系统方面，新车均匹配7速S-Tronic变速箱并标配奥迪quattro全轮驱动系统。</w:t>
      </w:r>
    </w:p>
    <w:p>
      <w:pPr>
        <w:rPr>
          <w:rFonts w:cs="宋体"/>
          <w:b/>
          <w:bCs/>
          <w:i/>
          <w:iCs/>
        </w:rPr>
      </w:pPr>
      <w:r>
        <w:rPr>
          <w:rFonts w:hint="eastAsia" w:cs="宋体"/>
          <w:b/>
          <w:bCs/>
          <w:i/>
          <w:iCs/>
        </w:rPr>
        <w:t>分析：。</w:t>
      </w:r>
    </w:p>
    <w:p>
      <w:pPr>
        <w:rPr>
          <w:rFonts w:cs="宋体"/>
          <w:b/>
          <w:bCs/>
          <w:i/>
          <w:iCs/>
        </w:rPr>
      </w:pPr>
    </w:p>
    <w:p>
      <w:pPr>
        <w:pStyle w:val="17"/>
        <w:numPr>
          <w:ilvl w:val="0"/>
          <w:numId w:val="8"/>
        </w:numPr>
        <w:ind w:firstLineChars="0"/>
        <w:outlineLvl w:val="0"/>
      </w:pPr>
      <w:r>
        <w:rPr>
          <w:rFonts w:hint="eastAsia" w:cs="宋体"/>
          <w:b/>
          <w:bCs/>
          <w:sz w:val="22"/>
        </w:rPr>
        <w:t>企业信息跟踪</w:t>
      </w:r>
    </w:p>
    <w:p>
      <w:pPr>
        <w:pStyle w:val="17"/>
        <w:numPr>
          <w:ilvl w:val="0"/>
          <w:numId w:val="9"/>
        </w:numPr>
        <w:ind w:firstLineChars="0"/>
        <w:outlineLvl w:val="1"/>
        <w:rPr>
          <w:b/>
        </w:rPr>
      </w:pPr>
      <w:r>
        <w:rPr>
          <w:b/>
        </w:rPr>
        <w:t>爱驰推甲醇重整制氢电池项目</w:t>
      </w:r>
      <w:r>
        <w:rPr>
          <w:rFonts w:hint="eastAsia"/>
          <w:b/>
        </w:rPr>
        <w:t>投资</w:t>
      </w:r>
      <w:r>
        <w:rPr>
          <w:b/>
        </w:rPr>
        <w:t>20亿</w:t>
      </w:r>
    </w:p>
    <w:p>
      <w:r>
        <w:rPr>
          <w:rFonts w:hint="eastAsia"/>
        </w:rPr>
        <w:t>爱驰汽车甲醇重整制氢燃料电池技术奠基仪式在山西高平举办，爱驰汽车的甲醇氢燃料电池动力系统工厂，位于高平经济技术开发区米山园区，占地</w:t>
      </w:r>
      <w:r>
        <w:t>100亩，投资20亿元，建成年产8万台套甲醇制氢燃料电池动力系统。</w:t>
      </w:r>
    </w:p>
    <w:p>
      <w:pPr>
        <w:rPr>
          <w:rFonts w:cs="宋体"/>
          <w:b/>
          <w:bCs/>
          <w:i/>
          <w:iCs/>
        </w:rPr>
      </w:pPr>
      <w:r>
        <w:rPr>
          <w:rFonts w:hint="eastAsia" w:cs="宋体"/>
          <w:b/>
          <w:bCs/>
          <w:i/>
          <w:iCs/>
        </w:rPr>
        <w:t>分析：。</w:t>
      </w:r>
    </w:p>
    <w:p>
      <w:pPr>
        <w:pStyle w:val="17"/>
        <w:numPr>
          <w:ilvl w:val="0"/>
          <w:numId w:val="9"/>
        </w:numPr>
        <w:ind w:firstLineChars="0"/>
        <w:outlineLvl w:val="1"/>
        <w:rPr>
          <w:b/>
        </w:rPr>
      </w:pPr>
      <w:r>
        <w:rPr>
          <w:b/>
        </w:rPr>
        <w:t>北汽10亿补贴促汽车消费</w:t>
      </w:r>
      <w:r>
        <w:rPr>
          <w:rFonts w:hint="eastAsia"/>
          <w:b/>
        </w:rPr>
        <w:t>多款车型优惠</w:t>
      </w:r>
    </w:p>
    <w:p>
      <w:r>
        <w:rPr>
          <w:rFonts w:hint="eastAsia"/>
        </w:rPr>
        <w:t>北京市交通委宣布，北京市自</w:t>
      </w:r>
      <w:r>
        <w:t>8月1日起面向“无车家庭”一次性增发2万个新能源小客车指标。</w:t>
      </w:r>
    </w:p>
    <w:p>
      <w:r>
        <w:rPr>
          <w:rFonts w:hint="eastAsia"/>
        </w:rPr>
        <w:t>除了指标的放开，多家车企还推出了不同程度的优惠活动。其中，北汽新能源表示，将向北京地区消费者发放</w:t>
      </w:r>
      <w:r>
        <w:t>10亿元汽车消费券，几乎覆盖北汽旗下全部新能源车型，并为购车者提供免费一站式咨询及代办服务。凡是购买beijing汽车的车主，单车至高可领取5万元消费券，到店购车可以直接抵扣现金。</w:t>
      </w:r>
    </w:p>
    <w:p>
      <w:pPr>
        <w:rPr>
          <w:rFonts w:cs="宋体"/>
          <w:b/>
          <w:bCs/>
          <w:i/>
          <w:iCs/>
        </w:rPr>
      </w:pPr>
      <w:r>
        <w:rPr>
          <w:rFonts w:hint="eastAsia" w:cs="宋体"/>
          <w:b/>
          <w:bCs/>
          <w:i/>
          <w:iCs/>
        </w:rPr>
        <w:t>分析：。</w:t>
      </w:r>
    </w:p>
    <w:p>
      <w:pPr>
        <w:pStyle w:val="17"/>
        <w:numPr>
          <w:ilvl w:val="0"/>
          <w:numId w:val="9"/>
        </w:numPr>
        <w:ind w:firstLineChars="0"/>
        <w:outlineLvl w:val="1"/>
        <w:rPr>
          <w:b/>
        </w:rPr>
      </w:pPr>
      <w:r>
        <w:rPr>
          <w:rFonts w:hint="eastAsia"/>
          <w:b/>
        </w:rPr>
        <w:t>比亚迪发布全新储能产品</w:t>
      </w:r>
    </w:p>
    <w:p>
      <w:r>
        <w:t>8月10日，比亚迪发布了储能产品BYDCube，占地仅16.66平方米储能容量2.8MWh，相较于行业内40尺标准集装储能系统单位面积能量密度提升了超90%，率先支持1300V直流电压，匹配不同品牌的高电压换流器。</w:t>
      </w:r>
    </w:p>
    <w:p>
      <w:pPr>
        <w:rPr>
          <w:rFonts w:cs="宋体"/>
          <w:b/>
          <w:bCs/>
          <w:i/>
          <w:iCs/>
        </w:rPr>
      </w:pPr>
      <w:r>
        <w:rPr>
          <w:rFonts w:hint="eastAsia" w:cs="宋体"/>
          <w:b/>
          <w:bCs/>
          <w:i/>
          <w:iCs/>
        </w:rPr>
        <w:t>分析：。</w:t>
      </w:r>
    </w:p>
    <w:p>
      <w:pPr>
        <w:pStyle w:val="17"/>
        <w:numPr>
          <w:ilvl w:val="0"/>
          <w:numId w:val="9"/>
        </w:numPr>
        <w:ind w:firstLineChars="0"/>
        <w:outlineLvl w:val="1"/>
        <w:rPr>
          <w:b/>
        </w:rPr>
      </w:pPr>
      <w:r>
        <w:rPr>
          <w:rFonts w:hint="eastAsia"/>
          <w:b/>
        </w:rPr>
        <w:t>比亚迪新能源客车驶进德国</w:t>
      </w:r>
    </w:p>
    <w:p>
      <w:r>
        <w:rPr>
          <w:rFonts w:hint="eastAsia"/>
        </w:rPr>
        <w:t>当地时间</w:t>
      </w:r>
      <w:r>
        <w:t>2020年8月7日，比亚迪向德国公共交通运营商Bogestra交付首台12米纯电动大巴，标志着比亚迪正式敲开德国纯电动城市公交大门，成功驶入又一个汽车工业强国。</w:t>
      </w:r>
    </w:p>
    <w:p>
      <w:pPr>
        <w:rPr>
          <w:rFonts w:cs="宋体"/>
          <w:b/>
          <w:bCs/>
          <w:i/>
          <w:iCs/>
        </w:rPr>
      </w:pPr>
      <w:r>
        <w:rPr>
          <w:rFonts w:hint="eastAsia" w:cs="宋体"/>
          <w:b/>
          <w:bCs/>
          <w:i/>
          <w:iCs/>
        </w:rPr>
        <w:t>分析：。</w:t>
      </w:r>
    </w:p>
    <w:p>
      <w:pPr>
        <w:pStyle w:val="17"/>
        <w:numPr>
          <w:ilvl w:val="0"/>
          <w:numId w:val="9"/>
        </w:numPr>
        <w:ind w:firstLineChars="0"/>
        <w:outlineLvl w:val="1"/>
        <w:rPr>
          <w:b/>
        </w:rPr>
      </w:pPr>
      <w:r>
        <w:rPr>
          <w:rFonts w:hint="eastAsia"/>
          <w:b/>
        </w:rPr>
        <w:t>福田欧辉国内首辆</w:t>
      </w:r>
      <w:r>
        <w:rPr>
          <w:b/>
        </w:rPr>
        <w:t>70MPa氢燃料客车车型公布</w:t>
      </w:r>
    </w:p>
    <w:p>
      <w:r>
        <w:rPr>
          <w:rFonts w:hint="eastAsia"/>
        </w:rPr>
        <w:t>近年来，随着国家对绿色出行的愈加重视，氢燃料客车如雨后春笋般涌出，客车企业争相投入研发，颇有群雄逐鹿中原的势头。作为中国绿色客车的领军品牌，福田欧辉一骑绝尘，率先公告国内首辆</w:t>
      </w:r>
      <w:r>
        <w:t>70MPa氢燃料客车车型BJ6122，为行业树立了标杆。</w:t>
      </w:r>
    </w:p>
    <w:p>
      <w:r>
        <w:rPr>
          <w:rFonts w:hint="eastAsia"/>
        </w:rPr>
        <w:t>据了解，国内首辆</w:t>
      </w:r>
      <w:r>
        <w:t>70MPa氢燃料客车匀速续航里程达750km，不仅推动了70MPa国家标准的制订，更为国内商用车领域70MPa氢技术的普及和推广应用奠定了基础。</w:t>
      </w:r>
    </w:p>
    <w:p>
      <w:r>
        <w:rPr>
          <w:rFonts w:hint="eastAsia"/>
        </w:rPr>
        <w:t>截至目前，福田欧辉氢燃料客车已升级到第四代，成功实现了</w:t>
      </w:r>
      <w:r>
        <w:t>-30℃低温启动、-40℃低温存放和停机自动保护，续驶里程可达520km，加氢时间10min，电堆寿命15000h，极大提高了整车性能，解决了极限环境运营难题，占据行业领先地位。</w:t>
      </w:r>
    </w:p>
    <w:p>
      <w:r>
        <w:rPr>
          <w:rFonts w:hint="eastAsia"/>
        </w:rPr>
        <w:t>此次，福田欧辉</w:t>
      </w:r>
      <w:r>
        <w:t>70MPa公告车型BJ6122的推出，再次说明了福田欧辉作为氢燃料客车的先行者和探索者的角色，更催化了后续加氢站、保压设备等配套设施的建设。</w:t>
      </w:r>
    </w:p>
    <w:p>
      <w:pPr>
        <w:rPr>
          <w:rFonts w:cs="宋体"/>
          <w:b/>
          <w:bCs/>
          <w:i/>
          <w:iCs/>
        </w:rPr>
      </w:pPr>
      <w:r>
        <w:rPr>
          <w:rFonts w:hint="eastAsia" w:cs="宋体"/>
          <w:b/>
          <w:bCs/>
          <w:i/>
          <w:iCs/>
        </w:rPr>
        <w:t>分析：。</w:t>
      </w:r>
    </w:p>
    <w:p>
      <w:pPr>
        <w:pStyle w:val="17"/>
        <w:numPr>
          <w:ilvl w:val="0"/>
          <w:numId w:val="9"/>
        </w:numPr>
        <w:ind w:firstLineChars="0"/>
        <w:outlineLvl w:val="1"/>
        <w:rPr>
          <w:b/>
        </w:rPr>
      </w:pPr>
      <w:r>
        <w:rPr>
          <w:rFonts w:hint="eastAsia"/>
          <w:b/>
        </w:rPr>
        <w:t>恒大汽车上海广州基地全线进入设备调试阶段</w:t>
      </w:r>
    </w:p>
    <w:p>
      <w:r>
        <w:t>8月7日，新京报贝壳财经记者从恒大汽车官方获悉，在六款恒驰新能源汽车亮相后，恒大汽车上海、广州生产基地也已全线进入设备调试阶段，恒驰新车离量产仅剩一步之遥。</w:t>
      </w:r>
    </w:p>
    <w:p>
      <w:r>
        <w:rPr>
          <w:rFonts w:hint="eastAsia"/>
        </w:rPr>
        <w:t>据悉，两大基地均按照工业</w:t>
      </w:r>
      <w:r>
        <w:t>4.0标准建设，装配智能机器人2545台，采用世界最先进的装备、世界最先进的工艺，实现世界最先进的智能制造，目前全线进入设备安装调试阶段，全面达产后能做到每分钟生产1辆车。</w:t>
      </w:r>
    </w:p>
    <w:p>
      <w:pPr>
        <w:rPr>
          <w:rFonts w:cs="宋体"/>
          <w:b/>
          <w:bCs/>
          <w:i/>
          <w:iCs/>
        </w:rPr>
      </w:pPr>
      <w:r>
        <w:rPr>
          <w:rFonts w:hint="eastAsia" w:cs="宋体"/>
          <w:b/>
          <w:bCs/>
          <w:i/>
          <w:iCs/>
        </w:rPr>
        <w:t>分析：。</w:t>
      </w:r>
    </w:p>
    <w:p>
      <w:pPr>
        <w:pStyle w:val="17"/>
        <w:numPr>
          <w:ilvl w:val="0"/>
          <w:numId w:val="9"/>
        </w:numPr>
        <w:ind w:firstLineChars="0"/>
        <w:outlineLvl w:val="1"/>
        <w:rPr>
          <w:b/>
        </w:rPr>
      </w:pPr>
      <w:r>
        <w:rPr>
          <w:rFonts w:hint="eastAsia"/>
          <w:b/>
        </w:rPr>
        <w:t>吉安携手江西国特打造新能源汽车“加油站”</w:t>
      </w:r>
    </w:p>
    <w:p>
      <w:r>
        <w:t>8月12日，在江西省与正和岛知名企业家恳谈会上，我市与江西国特智慧能源有限公司签署合作协议，携手打造吉安区域内新能源汽车智能充电网，让区域内的新能源汽车充电像燃油车加油一样方便。</w:t>
      </w:r>
    </w:p>
    <w:p>
      <w:r>
        <w:rPr>
          <w:rFonts w:hint="eastAsia"/>
        </w:rPr>
        <w:t>此次签署的新能源汽车智能充电网项目是通过打造吉安区域新能源汽车赖以生存的基础设施新网络，构建链接充电网、车联网、互联网形成的三网融合新能源互联网，实现“智能制造</w:t>
      </w:r>
      <w:r>
        <w:t>+充电运营+数据服务”的价值闭环新生态，建立江西区域新能源和新交通双向深度融合的新产业。</w:t>
      </w:r>
    </w:p>
    <w:p>
      <w:pPr>
        <w:rPr>
          <w:rFonts w:cs="宋体"/>
          <w:b/>
          <w:bCs/>
          <w:i/>
          <w:iCs/>
        </w:rPr>
      </w:pPr>
      <w:r>
        <w:rPr>
          <w:rFonts w:hint="eastAsia" w:cs="宋体"/>
          <w:b/>
          <w:bCs/>
          <w:i/>
          <w:iCs/>
        </w:rPr>
        <w:t>分析：。</w:t>
      </w:r>
    </w:p>
    <w:p>
      <w:pPr>
        <w:pStyle w:val="17"/>
        <w:numPr>
          <w:ilvl w:val="0"/>
          <w:numId w:val="9"/>
        </w:numPr>
        <w:ind w:firstLineChars="0"/>
        <w:outlineLvl w:val="1"/>
        <w:rPr>
          <w:b/>
        </w:rPr>
      </w:pPr>
      <w:r>
        <w:rPr>
          <w:b/>
        </w:rPr>
        <w:t>几何汽车2025年将推出十款纯电新车</w:t>
      </w:r>
    </w:p>
    <w:p>
      <w:r>
        <w:rPr>
          <w:rFonts w:hint="eastAsia"/>
        </w:rPr>
        <w:t>几何汽车对未来产品进行了规划，产品将覆盖轿车、</w:t>
      </w:r>
      <w:r>
        <w:t>SUV及MPV多个品类，到2025将推出十余款全新纯电车型。几何汽车首款轿车产品——几何A，将在年内推出新款车型，几何首款SUV车型——几何C刚刚上市，补贴后售价区间为12.98万-18.28万元。此外，基于吉利帝豪GL打造的几何T，将在10月份发布，新车主要针对网约车平台和租赁业务市场。</w:t>
      </w:r>
    </w:p>
    <w:p>
      <w:pPr>
        <w:rPr>
          <w:rFonts w:cs="宋体"/>
          <w:b/>
          <w:bCs/>
          <w:i/>
          <w:iCs/>
        </w:rPr>
      </w:pPr>
      <w:r>
        <w:rPr>
          <w:rFonts w:hint="eastAsia" w:cs="宋体"/>
          <w:b/>
          <w:bCs/>
          <w:i/>
          <w:iCs/>
        </w:rPr>
        <w:t>分析：。</w:t>
      </w:r>
    </w:p>
    <w:p>
      <w:pPr>
        <w:pStyle w:val="17"/>
        <w:numPr>
          <w:ilvl w:val="0"/>
          <w:numId w:val="9"/>
        </w:numPr>
        <w:ind w:firstLineChars="0"/>
        <w:outlineLvl w:val="1"/>
        <w:rPr>
          <w:b/>
        </w:rPr>
      </w:pPr>
      <w:r>
        <w:rPr>
          <w:rFonts w:hint="eastAsia"/>
          <w:b/>
        </w:rPr>
        <w:t>江淮汽车安进</w:t>
      </w:r>
      <w:r>
        <w:rPr>
          <w:b/>
        </w:rPr>
        <w:t>:年收入3%-5%用于研发投入</w:t>
      </w:r>
    </w:p>
    <w:p>
      <w:r>
        <w:t>8月12日，江淮汽车董事长安进对外表示，江淮每年收入的3%-5%将投入研发费用中，用于推动技术升级。</w:t>
      </w:r>
    </w:p>
    <w:p>
      <w:pPr>
        <w:rPr>
          <w:rFonts w:cs="宋体"/>
          <w:b/>
          <w:bCs/>
          <w:i/>
          <w:iCs/>
        </w:rPr>
      </w:pPr>
      <w:r>
        <w:rPr>
          <w:rFonts w:hint="eastAsia" w:cs="宋体"/>
          <w:b/>
          <w:bCs/>
          <w:i/>
          <w:iCs/>
        </w:rPr>
        <w:t>分析：。</w:t>
      </w:r>
    </w:p>
    <w:p>
      <w:pPr>
        <w:pStyle w:val="17"/>
        <w:numPr>
          <w:ilvl w:val="0"/>
          <w:numId w:val="9"/>
        </w:numPr>
        <w:ind w:firstLineChars="0"/>
        <w:outlineLvl w:val="1"/>
        <w:rPr>
          <w:b/>
        </w:rPr>
      </w:pPr>
      <w:r>
        <w:rPr>
          <w:rFonts w:hint="eastAsia"/>
          <w:b/>
        </w:rPr>
        <w:t>力帆控股进入司法重整程序</w:t>
      </w:r>
    </w:p>
    <w:p>
      <w:r>
        <w:rPr>
          <w:rFonts w:hint="eastAsia"/>
        </w:rPr>
        <w:t>力帆股份对外发布公告，由于重庆力帆控股有限公司无法清偿到期债务，资不抵债，已经向重庆市法院申请司法重整，公司已经被债权人申请进入破产重整程序。</w:t>
      </w:r>
    </w:p>
    <w:p>
      <w:pPr>
        <w:rPr>
          <w:rFonts w:cs="宋体"/>
          <w:b/>
          <w:bCs/>
          <w:i/>
          <w:iCs/>
        </w:rPr>
      </w:pPr>
      <w:r>
        <w:rPr>
          <w:rFonts w:hint="eastAsia" w:cs="宋体"/>
          <w:b/>
          <w:bCs/>
          <w:i/>
          <w:iCs/>
        </w:rPr>
        <w:t>分析：。</w:t>
      </w:r>
    </w:p>
    <w:p>
      <w:pPr>
        <w:pStyle w:val="17"/>
        <w:numPr>
          <w:ilvl w:val="0"/>
          <w:numId w:val="9"/>
        </w:numPr>
        <w:ind w:firstLineChars="0"/>
        <w:outlineLvl w:val="1"/>
        <w:rPr>
          <w:b/>
        </w:rPr>
      </w:pPr>
      <w:r>
        <w:rPr>
          <w:rFonts w:hint="eastAsia"/>
          <w:b/>
        </w:rPr>
        <w:t>零跑汽车金华</w:t>
      </w:r>
      <w:r>
        <w:rPr>
          <w:b/>
        </w:rPr>
        <w:t>AI工厂光伏项目正式交付</w:t>
      </w:r>
    </w:p>
    <w:p>
      <w:r>
        <w:t>8月11日，零跑汽车金华AI工厂光伏项目正式落成，并完成交付。该项目是由零跑汽车与国网浙江综合能源公司共同合作完成，其投入使用后可年产近千万伏电量。</w:t>
      </w:r>
    </w:p>
    <w:p>
      <w:r>
        <w:rPr>
          <w:rFonts w:hint="eastAsia"/>
        </w:rPr>
        <w:t>零跑光伏项目按</w:t>
      </w:r>
      <w:r>
        <w:t>25年寿命设计，预计年发电量近1000万度，可节约标准煤约72800吨，减排二氧化碳194500吨，是发展循环经济模式，建设和谐社会的具体体现。</w:t>
      </w:r>
    </w:p>
    <w:p>
      <w:pPr>
        <w:rPr>
          <w:rFonts w:cs="宋体"/>
          <w:b/>
          <w:bCs/>
          <w:i/>
          <w:iCs/>
        </w:rPr>
      </w:pPr>
      <w:r>
        <w:rPr>
          <w:rFonts w:hint="eastAsia" w:cs="宋体"/>
          <w:b/>
          <w:bCs/>
          <w:i/>
          <w:iCs/>
        </w:rPr>
        <w:t>分析：。</w:t>
      </w:r>
    </w:p>
    <w:p>
      <w:pPr>
        <w:pStyle w:val="17"/>
        <w:numPr>
          <w:ilvl w:val="0"/>
          <w:numId w:val="9"/>
        </w:numPr>
        <w:ind w:firstLineChars="0"/>
        <w:outlineLvl w:val="1"/>
        <w:rPr>
          <w:b/>
        </w:rPr>
      </w:pPr>
      <w:r>
        <w:rPr>
          <w:b/>
        </w:rPr>
        <w:t>庆铃五十铃M系列</w:t>
      </w:r>
      <w:r>
        <w:rPr>
          <w:rFonts w:hint="eastAsia"/>
          <w:b/>
        </w:rPr>
        <w:t>全新中体轻卡</w:t>
      </w:r>
      <w:r>
        <w:rPr>
          <w:b/>
        </w:rPr>
        <w:t>海南上市</w:t>
      </w:r>
    </w:p>
    <w:p>
      <w:r>
        <w:t>8月8日，以“焕然新升铃动起航”为主题的庆铃五十铃M系列中体轻卡海南上市发布会海口海南源群4S店震撼开启，该系列轻卡是庆铃五十铃品牌的最新力作，也是庆铃与五十铃三十五年合作共同打造的轻卡“新标杆”。</w:t>
      </w:r>
    </w:p>
    <w:p>
      <w:r>
        <w:rPr>
          <w:rFonts w:hint="eastAsia"/>
        </w:rPr>
        <w:t>庆铃五十铃</w:t>
      </w:r>
      <w:r>
        <w:t>M系列车型无论从外观、内饰、发动机、变速箱都有了很大的提升，还增加了非常多的科技感，代表着目前国内轻卡的最高水平。</w:t>
      </w:r>
    </w:p>
    <w:p>
      <w:pPr>
        <w:rPr>
          <w:rFonts w:cs="宋体"/>
          <w:b/>
          <w:bCs/>
          <w:i/>
          <w:iCs/>
        </w:rPr>
      </w:pPr>
      <w:r>
        <w:rPr>
          <w:rFonts w:hint="eastAsia" w:cs="宋体"/>
          <w:b/>
          <w:bCs/>
          <w:i/>
          <w:iCs/>
        </w:rPr>
        <w:t>分析：。</w:t>
      </w:r>
    </w:p>
    <w:p>
      <w:pPr>
        <w:pStyle w:val="17"/>
        <w:numPr>
          <w:ilvl w:val="0"/>
          <w:numId w:val="9"/>
        </w:numPr>
        <w:ind w:firstLineChars="0"/>
        <w:outlineLvl w:val="1"/>
        <w:rPr>
          <w:b/>
        </w:rPr>
      </w:pPr>
      <w:r>
        <w:rPr>
          <w:rFonts w:hint="eastAsia"/>
          <w:b/>
        </w:rPr>
        <w:t>全柴动力设立控股子公司发力氢燃料电池</w:t>
      </w:r>
    </w:p>
    <w:p>
      <w:r>
        <w:t>8月13日，全柴动力关于对外投资设立控股子公司的公告，公司拟与全椒全瑞投资控股集团有限公司、中能源工程集团氢能科技有限公司共同出资设立“安徽中能元隽氢能科技股份有限公司”（暂定名，具体以市场监督管理部门核名为准），三方于2020年8月12日共同签署了《合资协议》。中能元隽拟定注册资本1.1亿元。公司拟以现金2000万元出资，以其他资产出资4000万元（含公司控股的企业资产），合计出资6000万元，占公司注册资本54.55%。</w:t>
      </w:r>
    </w:p>
    <w:p>
      <w:pPr>
        <w:rPr>
          <w:rFonts w:cs="宋体"/>
          <w:b/>
          <w:bCs/>
          <w:i/>
          <w:iCs/>
        </w:rPr>
      </w:pPr>
      <w:r>
        <w:rPr>
          <w:rFonts w:hint="eastAsia" w:cs="宋体"/>
          <w:b/>
          <w:bCs/>
          <w:i/>
          <w:iCs/>
        </w:rPr>
        <w:t>分析：。</w:t>
      </w:r>
    </w:p>
    <w:p>
      <w:pPr>
        <w:pStyle w:val="17"/>
        <w:numPr>
          <w:ilvl w:val="0"/>
          <w:numId w:val="9"/>
        </w:numPr>
        <w:ind w:firstLineChars="0"/>
        <w:outlineLvl w:val="1"/>
        <w:rPr>
          <w:b/>
        </w:rPr>
      </w:pPr>
      <w:r>
        <w:rPr>
          <w:rFonts w:hint="eastAsia"/>
          <w:b/>
        </w:rPr>
        <w:t>山东重工与山东港口战略合作</w:t>
      </w:r>
    </w:p>
    <w:p>
      <w:r>
        <w:t>8月11日下午，山东重工集团有限公司与山东省港口集团有限公司签署战略合作协议。山东省港口集团党委书记、董事长霍高原，山东重工集团党委书记、董事长谭旭光出席签约仪式。</w:t>
      </w:r>
    </w:p>
    <w:p>
      <w:r>
        <w:rPr>
          <w:rFonts w:hint="eastAsia"/>
        </w:rPr>
        <w:t>谭旭光表示，山东重工集团和山东省港口集团有着良好的长期合作基础。特别是在绿色港口建设、车联网智能物流及港口文旅领域，合作前景广阔。未来，将全力推动山东港口旗下七市港口在全国率先使用氢燃料电池卡车，让港口城市更加美丽，共同推动“绿色动力、氢能城市”落地山东。</w:t>
      </w:r>
    </w:p>
    <w:p>
      <w:r>
        <w:rPr>
          <w:rFonts w:hint="eastAsia"/>
        </w:rPr>
        <w:t>霍高原表示，山东港口将充分发挥“港通四海、陆联八方”的辐射作用，与山东重工在“港口氢能化”、邮轮文旅及游艇、全程物流三个方面进行深入合作，携手山东重工共同为山东省新旧动能转换和高质量发展贡献力量。</w:t>
      </w:r>
    </w:p>
    <w:p>
      <w:pPr>
        <w:rPr>
          <w:rFonts w:cs="宋体"/>
          <w:b/>
          <w:bCs/>
          <w:i/>
          <w:iCs/>
        </w:rPr>
      </w:pPr>
      <w:r>
        <w:rPr>
          <w:rFonts w:hint="eastAsia" w:cs="宋体"/>
          <w:b/>
          <w:bCs/>
          <w:i/>
          <w:iCs/>
        </w:rPr>
        <w:t>分析：。</w:t>
      </w:r>
    </w:p>
    <w:p>
      <w:pPr>
        <w:pStyle w:val="17"/>
        <w:numPr>
          <w:ilvl w:val="0"/>
          <w:numId w:val="9"/>
        </w:numPr>
        <w:ind w:firstLineChars="0"/>
        <w:outlineLvl w:val="1"/>
        <w:rPr>
          <w:b/>
        </w:rPr>
      </w:pPr>
      <w:r>
        <w:rPr>
          <w:b/>
        </w:rPr>
        <w:t>上汽通用汽车累计产销破2000万辆</w:t>
      </w:r>
    </w:p>
    <w:p>
      <w:r>
        <w:t>上汽通用汽车成立23年来，累计产销突破2,000万辆。目前，上汽通用汽车拥有四大生产基地，共9个整车生产厂、4个动力总成厂的全国布局，汇聚了别克、雪佛兰和凯迪拉克三大品牌20多个产品系列。</w:t>
      </w:r>
    </w:p>
    <w:p>
      <w:pPr>
        <w:rPr>
          <w:rFonts w:cs="宋体"/>
          <w:b/>
          <w:bCs/>
          <w:i/>
          <w:iCs/>
        </w:rPr>
      </w:pPr>
      <w:r>
        <w:rPr>
          <w:rFonts w:hint="eastAsia" w:cs="宋体"/>
          <w:b/>
          <w:bCs/>
          <w:i/>
          <w:iCs/>
        </w:rPr>
        <w:t>分析：。</w:t>
      </w:r>
    </w:p>
    <w:p>
      <w:pPr>
        <w:pStyle w:val="17"/>
        <w:numPr>
          <w:ilvl w:val="0"/>
          <w:numId w:val="9"/>
        </w:numPr>
        <w:ind w:firstLineChars="0"/>
        <w:outlineLvl w:val="1"/>
        <w:rPr>
          <w:b/>
        </w:rPr>
      </w:pPr>
      <w:r>
        <w:rPr>
          <w:rFonts w:hint="eastAsia"/>
          <w:b/>
        </w:rPr>
        <w:t>时代吉利拟在宜宾投资</w:t>
      </w:r>
      <w:r>
        <w:rPr>
          <w:b/>
        </w:rPr>
        <w:t>80亿元建设动力电池项目</w:t>
      </w:r>
    </w:p>
    <w:p>
      <w:r>
        <w:t>宁德时代发布公告，其控股子公司时代吉利拟在四川省宜宾市投资建设动力电池项目，项目投资总额不超过人民币80亿元。</w:t>
      </w:r>
    </w:p>
    <w:p>
      <w:pPr>
        <w:rPr>
          <w:rFonts w:cs="宋体"/>
          <w:b/>
          <w:bCs/>
          <w:i/>
          <w:iCs/>
        </w:rPr>
      </w:pPr>
      <w:r>
        <w:rPr>
          <w:rFonts w:hint="eastAsia" w:cs="宋体"/>
          <w:b/>
          <w:bCs/>
          <w:i/>
          <w:iCs/>
        </w:rPr>
        <w:t>分析：。</w:t>
      </w:r>
    </w:p>
    <w:p>
      <w:pPr>
        <w:pStyle w:val="17"/>
        <w:numPr>
          <w:ilvl w:val="0"/>
          <w:numId w:val="9"/>
        </w:numPr>
        <w:ind w:firstLineChars="0"/>
        <w:outlineLvl w:val="1"/>
        <w:rPr>
          <w:b/>
        </w:rPr>
      </w:pPr>
      <w:r>
        <w:rPr>
          <w:rFonts w:hint="eastAsia"/>
          <w:b/>
        </w:rPr>
        <w:t>时代汽车第</w:t>
      </w:r>
      <w:r>
        <w:rPr>
          <w:b/>
        </w:rPr>
        <w:t>12万台国六产品成功交付</w:t>
      </w:r>
    </w:p>
    <w:p>
      <w:r>
        <w:t>8月8日，中国卡车绿色领航计划启动暨时代汽车第12万台国六产品交付仪式在山东潍坊举行。现场，时代汽车第12万台国六产品顺利交付客户手中，这也是继其成为首家获得国六b公告的卡车品牌后，又一次用实力领跑行业发展。</w:t>
      </w:r>
    </w:p>
    <w:p>
      <w:pPr>
        <w:rPr>
          <w:rFonts w:cs="宋体"/>
          <w:b/>
          <w:bCs/>
          <w:i/>
          <w:iCs/>
        </w:rPr>
      </w:pPr>
      <w:r>
        <w:rPr>
          <w:rFonts w:hint="eastAsia" w:cs="宋体"/>
          <w:b/>
          <w:bCs/>
          <w:i/>
          <w:iCs/>
        </w:rPr>
        <w:t>分析：。</w:t>
      </w:r>
    </w:p>
    <w:p>
      <w:pPr>
        <w:pStyle w:val="17"/>
        <w:numPr>
          <w:ilvl w:val="0"/>
          <w:numId w:val="9"/>
        </w:numPr>
        <w:ind w:firstLineChars="0"/>
        <w:outlineLvl w:val="1"/>
        <w:rPr>
          <w:b/>
        </w:rPr>
      </w:pPr>
      <w:r>
        <w:rPr>
          <w:b/>
        </w:rPr>
        <w:t>特斯拉注册保险经纪公司</w:t>
      </w:r>
      <w:r>
        <w:rPr>
          <w:rFonts w:hint="eastAsia"/>
          <w:b/>
        </w:rPr>
        <w:t>涉足保险领域</w:t>
      </w:r>
    </w:p>
    <w:p>
      <w:r>
        <w:rPr>
          <w:rFonts w:hint="eastAsia"/>
        </w:rPr>
        <w:t>根据国内企业信息查询网站数据，特斯拉于</w:t>
      </w:r>
      <w:r>
        <w:t>8月6日在国内注册了特斯拉保险经纪有限公司，注册资本为5000万人民币，公司经营范围为保险经纪业务。</w:t>
      </w:r>
    </w:p>
    <w:p>
      <w:r>
        <w:rPr>
          <w:rFonts w:hint="eastAsia"/>
        </w:rPr>
        <w:t>本次注册保险经纪有限公司，意味着特斯拉未来将在国内开展保险业务，从而开拓新的盈利模式，并为车主带来具有竞争力的保险服务，同时促进旗下车型的销售。</w:t>
      </w:r>
    </w:p>
    <w:p>
      <w:pPr>
        <w:rPr>
          <w:rFonts w:cs="宋体"/>
          <w:b/>
          <w:bCs/>
          <w:i/>
          <w:iCs/>
        </w:rPr>
      </w:pPr>
      <w:r>
        <w:rPr>
          <w:rFonts w:hint="eastAsia" w:cs="宋体"/>
          <w:b/>
          <w:bCs/>
          <w:i/>
          <w:iCs/>
        </w:rPr>
        <w:t>分析：。</w:t>
      </w:r>
    </w:p>
    <w:p>
      <w:pPr>
        <w:pStyle w:val="17"/>
        <w:numPr>
          <w:ilvl w:val="0"/>
          <w:numId w:val="9"/>
        </w:numPr>
        <w:ind w:firstLineChars="0"/>
        <w:outlineLvl w:val="1"/>
        <w:rPr>
          <w:b/>
        </w:rPr>
      </w:pPr>
      <w:r>
        <w:rPr>
          <w:rFonts w:hint="eastAsia"/>
          <w:b/>
        </w:rPr>
        <w:t>天际汽车首家旗舰店试营业</w:t>
      </w:r>
    </w:p>
    <w:p>
      <w:r>
        <w:t>8月10日，天际汽车官方宣布，其位于上海的首家天际中心已启动试营业。线下门店的开业将对天际汽车首款车进行更直观全面的展示和宣传，也意味着距离天际ME7上市又近了一步。</w:t>
      </w:r>
    </w:p>
    <w:p>
      <w:pPr>
        <w:rPr>
          <w:rFonts w:cs="宋体"/>
          <w:b/>
          <w:bCs/>
          <w:i/>
          <w:iCs/>
        </w:rPr>
      </w:pPr>
      <w:r>
        <w:rPr>
          <w:rFonts w:hint="eastAsia" w:cs="宋体"/>
          <w:b/>
          <w:bCs/>
          <w:i/>
          <w:iCs/>
        </w:rPr>
        <w:t>分析：。</w:t>
      </w:r>
    </w:p>
    <w:p>
      <w:pPr>
        <w:pStyle w:val="17"/>
        <w:numPr>
          <w:ilvl w:val="0"/>
          <w:numId w:val="9"/>
        </w:numPr>
        <w:ind w:firstLineChars="0"/>
        <w:outlineLvl w:val="1"/>
        <w:rPr>
          <w:b/>
        </w:rPr>
      </w:pPr>
      <w:r>
        <w:rPr>
          <w:rFonts w:hint="eastAsia"/>
          <w:b/>
        </w:rPr>
        <w:t>潍柴与福田签战略合作协议</w:t>
      </w:r>
    </w:p>
    <w:p>
      <w:r>
        <w:t>8月8日下午5点，潍柴动力与福田汽车在山东潍坊潍柴动力总部签署战略合作框架协议。潍坊市委副书记、市长田庆盈，北汽集团总经理、福田汽车董事长张夕勇，福田汽车党委书记、总经理巩月琼，潍柴动力董事长谭旭光等，出席签约仪式。</w:t>
      </w:r>
    </w:p>
    <w:p>
      <w:pPr>
        <w:rPr>
          <w:rFonts w:cs="宋体"/>
          <w:b/>
          <w:bCs/>
          <w:i/>
          <w:iCs/>
        </w:rPr>
      </w:pPr>
      <w:r>
        <w:rPr>
          <w:rFonts w:hint="eastAsia" w:cs="宋体"/>
          <w:b/>
          <w:bCs/>
          <w:i/>
          <w:iCs/>
        </w:rPr>
        <w:t>分析：。</w:t>
      </w:r>
    </w:p>
    <w:p>
      <w:pPr>
        <w:pStyle w:val="17"/>
        <w:numPr>
          <w:ilvl w:val="0"/>
          <w:numId w:val="9"/>
        </w:numPr>
        <w:ind w:firstLineChars="0"/>
        <w:outlineLvl w:val="1"/>
        <w:rPr>
          <w:b/>
        </w:rPr>
      </w:pPr>
      <w:r>
        <w:rPr>
          <w:rFonts w:hint="eastAsia"/>
          <w:b/>
        </w:rPr>
        <w:t>蔚来二季度毛利大幅度转正，营收</w:t>
      </w:r>
      <w:r>
        <w:rPr>
          <w:b/>
        </w:rPr>
        <w:t>37.2亿元同比增长146.5%</w:t>
      </w:r>
    </w:p>
    <w:p>
      <w:r>
        <w:rPr>
          <w:rFonts w:hint="eastAsia"/>
        </w:rPr>
        <w:t>蔚来汽车宣布第二季度财报。财报显示，总营收为人民币</w:t>
      </w:r>
      <w:r>
        <w:t>37.189亿元（约合5.264亿美元），较2019年第二季度增长146.5%，较2020年第一季度增长171.1%。归属蔚来汽车股东的净亏损为人民币12.078亿元（约合1.710亿美元），亏损同比收窄63.6%。</w:t>
      </w:r>
    </w:p>
    <w:p>
      <w:pPr>
        <w:rPr>
          <w:rFonts w:cs="宋体"/>
          <w:b/>
          <w:bCs/>
          <w:i/>
          <w:iCs/>
        </w:rPr>
      </w:pPr>
      <w:r>
        <w:rPr>
          <w:rFonts w:hint="eastAsia" w:cs="宋体"/>
          <w:b/>
          <w:bCs/>
          <w:i/>
          <w:iCs/>
        </w:rPr>
        <w:t>分析：。</w:t>
      </w:r>
    </w:p>
    <w:p>
      <w:pPr>
        <w:pStyle w:val="17"/>
        <w:numPr>
          <w:ilvl w:val="0"/>
          <w:numId w:val="9"/>
        </w:numPr>
        <w:ind w:firstLineChars="0"/>
        <w:outlineLvl w:val="1"/>
        <w:rPr>
          <w:b/>
        </w:rPr>
      </w:pPr>
      <w:r>
        <w:rPr>
          <w:rFonts w:hint="eastAsia"/>
          <w:b/>
        </w:rPr>
        <w:t>蔚来与嘀嗒出行合作，鼓励车主加入嘀嗒顺风车</w:t>
      </w:r>
    </w:p>
    <w:p>
      <w:r>
        <w:t>8月12日，蔚来表示将联合嘀嗒出行平台，发起“解锁推荐新方式”活动。蔚来车主认证成为嘀嗒顺风车主后，在8月12日至10月31日活动期间，使用蔚来任意车型完成首次顺风车订单的车主，即可获得5N蔚来值。邀请乘客成功完成提车，邀请人和购车人均可获得12,000积分，邀请人还可获得100N蔚来值。</w:t>
      </w:r>
    </w:p>
    <w:p>
      <w:pPr>
        <w:rPr>
          <w:rFonts w:cs="宋体"/>
          <w:b/>
          <w:bCs/>
          <w:i/>
          <w:iCs/>
        </w:rPr>
      </w:pPr>
      <w:r>
        <w:rPr>
          <w:rFonts w:hint="eastAsia" w:cs="宋体"/>
          <w:b/>
          <w:bCs/>
          <w:i/>
          <w:iCs/>
        </w:rPr>
        <w:t>分析：。</w:t>
      </w:r>
    </w:p>
    <w:p>
      <w:pPr>
        <w:pStyle w:val="17"/>
        <w:numPr>
          <w:ilvl w:val="0"/>
          <w:numId w:val="9"/>
        </w:numPr>
        <w:ind w:firstLineChars="0"/>
        <w:outlineLvl w:val="1"/>
        <w:rPr>
          <w:b/>
        </w:rPr>
      </w:pPr>
      <w:r>
        <w:rPr>
          <w:rFonts w:hint="eastAsia"/>
          <w:b/>
        </w:rPr>
        <w:t>蔚来最新规划曝光</w:t>
      </w:r>
      <w:r>
        <w:rPr>
          <w:b/>
        </w:rPr>
        <w:t>正在筹划第二工厂</w:t>
      </w:r>
    </w:p>
    <w:p>
      <w:r>
        <w:rPr>
          <w:rFonts w:hint="eastAsia"/>
        </w:rPr>
        <w:t>从蔚来官方获悉，其下一款车型将为电动轿车，但蔚来官方并未明确新车是否为之前亮相的</w:t>
      </w:r>
      <w:r>
        <w:t>et7。此外，蔚来还表示正在筹划第二工厂事宜。</w:t>
      </w:r>
    </w:p>
    <w:p>
      <w:pPr>
        <w:rPr>
          <w:rFonts w:cs="宋体"/>
          <w:b/>
          <w:bCs/>
          <w:i/>
          <w:iCs/>
        </w:rPr>
      </w:pPr>
      <w:r>
        <w:rPr>
          <w:rFonts w:hint="eastAsia" w:cs="宋体"/>
          <w:b/>
          <w:bCs/>
          <w:i/>
          <w:iCs/>
        </w:rPr>
        <w:t>分析：。</w:t>
      </w:r>
    </w:p>
    <w:p>
      <w:pPr>
        <w:pStyle w:val="17"/>
        <w:numPr>
          <w:ilvl w:val="0"/>
          <w:numId w:val="9"/>
        </w:numPr>
        <w:ind w:firstLineChars="0"/>
        <w:outlineLvl w:val="1"/>
        <w:rPr>
          <w:b/>
        </w:rPr>
      </w:pPr>
      <w:r>
        <w:rPr>
          <w:rFonts w:hint="eastAsia"/>
          <w:b/>
        </w:rPr>
        <w:t>现代重启进口车业务</w:t>
      </w:r>
      <w:r>
        <w:rPr>
          <w:b/>
        </w:rPr>
        <w:t>旗舰SUV将引入国内</w:t>
      </w:r>
    </w:p>
    <w:p>
      <w:r>
        <w:rPr>
          <w:rFonts w:hint="eastAsia"/>
        </w:rPr>
        <w:t>现代汽车集团宣布，将重新启动在中国市场上的进口车业务，而第一款要引入的车型就是现代集团当前的旗舰</w:t>
      </w:r>
      <w:r>
        <w:t>SUV车型——帕里斯帝，预计新车会在北京车展开启预售。</w:t>
      </w:r>
    </w:p>
    <w:p>
      <w:pPr>
        <w:rPr>
          <w:rFonts w:cs="宋体"/>
          <w:b/>
          <w:bCs/>
          <w:i/>
          <w:iCs/>
        </w:rPr>
      </w:pPr>
      <w:r>
        <w:rPr>
          <w:rFonts w:hint="eastAsia" w:cs="宋体"/>
          <w:b/>
          <w:bCs/>
          <w:i/>
          <w:iCs/>
        </w:rPr>
        <w:t>分析：。</w:t>
      </w:r>
    </w:p>
    <w:p>
      <w:pPr>
        <w:pStyle w:val="17"/>
        <w:numPr>
          <w:ilvl w:val="0"/>
          <w:numId w:val="9"/>
        </w:numPr>
        <w:ind w:firstLineChars="0"/>
        <w:outlineLvl w:val="1"/>
        <w:rPr>
          <w:b/>
        </w:rPr>
      </w:pPr>
      <w:r>
        <w:rPr>
          <w:rFonts w:hint="eastAsia"/>
          <w:b/>
        </w:rPr>
        <w:t>小鹏汽车正式递交</w:t>
      </w:r>
      <w:r>
        <w:rPr>
          <w:b/>
        </w:rPr>
        <w:t>IPO招股书</w:t>
      </w:r>
    </w:p>
    <w:p>
      <w:r>
        <w:t>8月8日凌晨，小鹏汽车正式向SEC提交IPO文件，拟于纽交所上市，股票代码为“XPEV”，承销商包括美银证券、瑞信、摩根大通等。</w:t>
      </w:r>
    </w:p>
    <w:p>
      <w:pPr>
        <w:rPr>
          <w:rFonts w:cs="宋体"/>
          <w:b/>
          <w:bCs/>
          <w:i/>
          <w:iCs/>
        </w:rPr>
      </w:pPr>
      <w:r>
        <w:rPr>
          <w:rFonts w:hint="eastAsia" w:cs="宋体"/>
          <w:b/>
          <w:bCs/>
          <w:i/>
          <w:iCs/>
        </w:rPr>
        <w:t>分析：。</w:t>
      </w:r>
    </w:p>
    <w:p>
      <w:pPr>
        <w:pStyle w:val="17"/>
        <w:numPr>
          <w:ilvl w:val="0"/>
          <w:numId w:val="9"/>
        </w:numPr>
        <w:ind w:firstLineChars="0"/>
        <w:outlineLvl w:val="1"/>
        <w:rPr>
          <w:b/>
        </w:rPr>
      </w:pPr>
      <w:r>
        <w:rPr>
          <w:rFonts w:hint="eastAsia"/>
          <w:b/>
        </w:rPr>
        <w:t>云度将推智能模块化纯电平台</w:t>
      </w:r>
    </w:p>
    <w:p>
      <w:r>
        <w:t>8月6日,“以初心迎焕新”云度新能源汽车战略发布会在厦门隆重开启。发布会上,云度正式对外公布了其全新的技术开发理念和技术研发计划。未来,云度将在三电技术研发、智能驾驶技术研发、产品网联化和OTA技术研发等方面全面发力,同时还将自主开发全新一代智能模块化纯电平台,力求在新能源汽车研发的核心技术上实现突围。</w:t>
      </w:r>
    </w:p>
    <w:p>
      <w:pPr>
        <w:rPr>
          <w:rFonts w:cs="宋体"/>
          <w:b/>
          <w:bCs/>
          <w:i/>
          <w:iCs/>
        </w:rPr>
      </w:pPr>
      <w:r>
        <w:rPr>
          <w:rFonts w:hint="eastAsia" w:cs="宋体"/>
          <w:b/>
          <w:bCs/>
          <w:i/>
          <w:iCs/>
        </w:rPr>
        <w:t>分析：。</w:t>
      </w:r>
    </w:p>
    <w:p>
      <w:pPr>
        <w:pStyle w:val="17"/>
        <w:numPr>
          <w:ilvl w:val="0"/>
          <w:numId w:val="9"/>
        </w:numPr>
        <w:ind w:firstLineChars="0"/>
        <w:outlineLvl w:val="1"/>
        <w:rPr>
          <w:b/>
        </w:rPr>
      </w:pPr>
      <w:r>
        <w:rPr>
          <w:rFonts w:hint="eastAsia"/>
          <w:b/>
        </w:rPr>
        <w:t>长城威奕项目新进展：精工汽车（日照）底盘自动化线体进厂开工</w:t>
      </w:r>
    </w:p>
    <w:p>
      <w:r>
        <w:rPr>
          <w:rFonts w:hint="eastAsia"/>
        </w:rPr>
        <w:t>长城（威奕）汽车日照生产基地项目生产线——精工汽车（日照）底盘自动化线体进厂开工。这意味着，长城（威奕）汽车日照生产基地距离整车下线又近了一步。长城（威奕）汽车日照生产基地总投资</w:t>
      </w:r>
      <w:r>
        <w:t>150亿元，主要生产长城汽车旗下的高端品牌WEY，年产能将达30万辆，预计在元旦之前整车下线。据悉，自去年9月施工以来，长城威奕项目不断刷新施工速度。截至目前，该项目冲压、焊接、涂装、总装四大工艺车间主体已完成，预计在10月，四个车间的设备可全部安装完毕，配套零部件项目自精工汽车底盘自动化线体入厂后也将陆续进入安装阶段。</w:t>
      </w:r>
    </w:p>
    <w:p>
      <w:pPr>
        <w:rPr>
          <w:rFonts w:cs="宋体"/>
          <w:b/>
          <w:bCs/>
          <w:i/>
          <w:iCs/>
        </w:rPr>
      </w:pPr>
      <w:r>
        <w:rPr>
          <w:rFonts w:hint="eastAsia" w:cs="宋体"/>
          <w:b/>
          <w:bCs/>
          <w:i/>
          <w:iCs/>
        </w:rPr>
        <w:t>分析：。</w:t>
      </w:r>
    </w:p>
    <w:p>
      <w:pPr>
        <w:rPr>
          <w:rFonts w:cs="宋体"/>
          <w:b/>
          <w:bCs/>
          <w:i/>
          <w:iCs/>
        </w:rPr>
      </w:pPr>
    </w:p>
    <w:p>
      <w:pPr>
        <w:pStyle w:val="17"/>
        <w:numPr>
          <w:ilvl w:val="0"/>
          <w:numId w:val="8"/>
        </w:numPr>
        <w:ind w:firstLineChars="0"/>
        <w:outlineLvl w:val="0"/>
      </w:pPr>
      <w:r>
        <w:rPr>
          <w:rFonts w:hint="eastAsia" w:cs="宋体"/>
          <w:b/>
          <w:bCs/>
        </w:rPr>
        <w:t>行业信息跟踪</w:t>
      </w:r>
    </w:p>
    <w:p>
      <w:pPr>
        <w:jc w:val="left"/>
        <w:outlineLvl w:val="1"/>
        <w:rPr>
          <w:b/>
        </w:rPr>
      </w:pPr>
      <w:r>
        <w:rPr>
          <w:rFonts w:hint="eastAsia"/>
          <w:b/>
        </w:rPr>
        <w:t>1.充电桩进入提速发展阶段</w:t>
      </w:r>
    </w:p>
    <w:p>
      <w:r>
        <w:t>8月初，交通运输部发布《关于推动交通运输领域新型基础设施建设的指导意见》(交规划发〔2020〕75号)，提出打造融合高效的智慧交通基础设施，引导在城市群等重点高速公路服务区建设超快充、大功率电动汽车充电设施。</w:t>
      </w:r>
    </w:p>
    <w:p>
      <w:r>
        <w:rPr>
          <w:rFonts w:hint="eastAsia"/>
        </w:rPr>
        <w:t>本次出台的《指导意见》是继《数字交通发展规划纲要》、各地推出大量新基建重点建设项目之后，交通领域“新基建”再次迎来建设蓝图。充电桩产业有望搭乘政策东风，进入提速发展阶段。</w:t>
      </w:r>
    </w:p>
    <w:p>
      <w:pPr>
        <w:rPr>
          <w:rFonts w:cs="宋体"/>
          <w:b/>
          <w:bCs/>
          <w:i/>
          <w:iCs/>
        </w:rPr>
      </w:pPr>
      <w:r>
        <w:rPr>
          <w:rFonts w:hint="eastAsia" w:cs="宋体"/>
          <w:b/>
          <w:bCs/>
          <w:i/>
          <w:iCs/>
        </w:rPr>
        <w:t>分析：。</w:t>
      </w:r>
    </w:p>
    <w:p>
      <w:pPr>
        <w:outlineLvl w:val="1"/>
        <w:rPr>
          <w:b/>
        </w:rPr>
      </w:pPr>
      <w:r>
        <w:rPr>
          <w:rFonts w:hint="eastAsia"/>
          <w:b/>
        </w:rPr>
        <w:t>2.宁德时代拟以不超</w:t>
      </w:r>
      <w:r>
        <w:rPr>
          <w:b/>
        </w:rPr>
        <w:t>190.67亿元投资产业链</w:t>
      </w:r>
    </w:p>
    <w:p>
      <w:r>
        <w:t>8月11日晚间，宁德时代发布公告称，公司拟围绕主业，以证券投资方式对境内外产业链上下游优质上市企业进行投资，投资总额不超过2019年末经审计净资产的50%，即不超过190.67亿元(不含本数)人民币或等值币种，其中境外投资总额不超过25亿美元，有效期为12个月。</w:t>
      </w:r>
    </w:p>
    <w:p>
      <w:pPr>
        <w:rPr>
          <w:rFonts w:cs="宋体"/>
          <w:b/>
          <w:bCs/>
          <w:i/>
          <w:iCs/>
        </w:rPr>
      </w:pPr>
      <w:r>
        <w:rPr>
          <w:rFonts w:hint="eastAsia" w:cs="宋体"/>
          <w:b/>
          <w:bCs/>
          <w:i/>
          <w:iCs/>
        </w:rPr>
        <w:t>分析：。</w:t>
      </w:r>
    </w:p>
    <w:p>
      <w:pPr>
        <w:outlineLvl w:val="1"/>
        <w:rPr>
          <w:b/>
        </w:rPr>
      </w:pPr>
      <w:r>
        <w:rPr>
          <w:rFonts w:hint="eastAsia"/>
          <w:b/>
        </w:rPr>
        <w:t>3.宁德时代研发新技术</w:t>
      </w:r>
      <w:r>
        <w:rPr>
          <w:b/>
        </w:rPr>
        <w:t>续航或可超800公里</w:t>
      </w:r>
    </w:p>
    <w:p>
      <w:r>
        <w:rPr>
          <w:rFonts w:hint="eastAsia"/>
        </w:rPr>
        <w:t>宁德时代表示，其正在研究一项新技术，将不使用现有电池系统的外壳，将使电池与电动汽车的底盘“合体”，并可能使电动汽车的续航里程超过</w:t>
      </w:r>
      <w:r>
        <w:t>800公里。</w:t>
      </w:r>
    </w:p>
    <w:p>
      <w:pPr>
        <w:rPr>
          <w:rFonts w:cs="宋体"/>
          <w:b/>
          <w:bCs/>
          <w:i/>
          <w:iCs/>
        </w:rPr>
      </w:pPr>
      <w:r>
        <w:rPr>
          <w:rFonts w:hint="eastAsia" w:cs="宋体"/>
          <w:b/>
          <w:bCs/>
          <w:i/>
          <w:iCs/>
        </w:rPr>
        <w:t>分析：。</w:t>
      </w:r>
    </w:p>
    <w:p>
      <w:pPr>
        <w:outlineLvl w:val="1"/>
        <w:rPr>
          <w:b/>
        </w:rPr>
      </w:pPr>
      <w:r>
        <w:rPr>
          <w:rFonts w:hint="eastAsia"/>
          <w:b/>
        </w:rPr>
        <w:t>4.天猫养车</w:t>
      </w:r>
      <w:r>
        <w:rPr>
          <w:b/>
        </w:rPr>
        <w:t>40店同开质保全面升级</w:t>
      </w:r>
    </w:p>
    <w:p>
      <w:r>
        <w:t>8月8日，古城西安的汽车后市场热闹非凡。天猫养车迎来40家门店齐开，这意味着天猫养车在西北地区的布局迈出了重要一步，也是天猫养车在杭州、上海、苏州、成都之后开拓的又一重要城市，至此在全国门店达100家。</w:t>
      </w:r>
    </w:p>
    <w:p>
      <w:pPr>
        <w:rPr>
          <w:rFonts w:cs="宋体"/>
          <w:b/>
          <w:bCs/>
          <w:i/>
          <w:iCs/>
        </w:rPr>
      </w:pPr>
      <w:r>
        <w:rPr>
          <w:rFonts w:hint="eastAsia" w:cs="宋体"/>
          <w:b/>
          <w:bCs/>
          <w:i/>
          <w:iCs/>
        </w:rPr>
        <w:t>分析：。</w:t>
      </w:r>
    </w:p>
    <w:p>
      <w:pPr>
        <w:outlineLvl w:val="1"/>
        <w:rPr>
          <w:b/>
        </w:rPr>
      </w:pPr>
      <w:r>
        <w:rPr>
          <w:rFonts w:hint="eastAsia"/>
          <w:b/>
        </w:rPr>
        <w:t>5.途虎养车推出“三年轮胎险”</w:t>
      </w:r>
    </w:p>
    <w:p>
      <w:r>
        <w:rPr>
          <w:rFonts w:hint="eastAsia"/>
        </w:rPr>
        <w:t>途虎养车发布全新升级的“三年轮胎险”，这是途虎养车继推出“发动机</w:t>
      </w:r>
      <w:r>
        <w:t>+变速箱10年质保”后的又一项升级服务。</w:t>
      </w:r>
    </w:p>
    <w:p>
      <w:r>
        <w:rPr>
          <w:rFonts w:hint="eastAsia"/>
        </w:rPr>
        <w:t>据悉，全新升级的三年轮胎险首批将覆盖途虎线上“轮</w:t>
      </w:r>
      <w:r>
        <w:t>+优选”全系产品及“途虎星选”系列轮胎产品。这意味着，在途虎养车APP和途虎养车工场店购买指定轮胎产品的车主，在三年内发生爆胎、鼓包意外损坏等现象，由途虎养车协同保险公司负责赔付，最高赔付可达80%（不包含人为损坏）。</w:t>
      </w:r>
    </w:p>
    <w:p>
      <w:pPr>
        <w:rPr>
          <w:rFonts w:cs="宋体"/>
          <w:b/>
          <w:bCs/>
          <w:i/>
          <w:iCs/>
        </w:rPr>
      </w:pPr>
      <w:r>
        <w:rPr>
          <w:rFonts w:hint="eastAsia" w:cs="宋体"/>
          <w:b/>
          <w:bCs/>
          <w:i/>
          <w:iCs/>
        </w:rPr>
        <w:t>分析：。</w:t>
      </w:r>
    </w:p>
    <w:p>
      <w:pPr>
        <w:jc w:val="left"/>
        <w:outlineLvl w:val="1"/>
        <w:rPr>
          <w:b/>
        </w:rPr>
      </w:pPr>
      <w:r>
        <w:rPr>
          <w:rFonts w:hint="eastAsia"/>
          <w:b/>
        </w:rPr>
        <w:t>6.前</w:t>
      </w:r>
      <w:r>
        <w:rPr>
          <w:b/>
        </w:rPr>
        <w:t>7个月国内充电基础设施增加12.2万台</w:t>
      </w:r>
    </w:p>
    <w:p>
      <w:r>
        <w:t>8月11日，中国电动汽车充电基础设施促进联盟发布数据显示，今年前7个月，国内充电基础设施增加12.2万台，增量同比下降49.9％，充电基础设施整体维持较低增速水平。截至今年7月，全国充电基础设施累计数量为134.1万台。</w:t>
      </w:r>
    </w:p>
    <w:p>
      <w:pPr>
        <w:rPr>
          <w:rFonts w:cs="宋体"/>
          <w:b/>
          <w:bCs/>
          <w:i/>
          <w:iCs/>
        </w:rPr>
      </w:pPr>
      <w:r>
        <w:rPr>
          <w:rFonts w:hint="eastAsia" w:cs="宋体"/>
          <w:b/>
          <w:bCs/>
          <w:i/>
          <w:iCs/>
        </w:rPr>
        <w:t>分析：。</w:t>
      </w:r>
    </w:p>
    <w:p>
      <w:pPr>
        <w:rPr>
          <w:rFonts w:cs="宋体"/>
          <w:b/>
          <w:bCs/>
          <w:i/>
          <w:iCs/>
        </w:rPr>
      </w:pPr>
    </w:p>
    <w:p>
      <w:pPr>
        <w:jc w:val="left"/>
        <w:outlineLvl w:val="1"/>
        <w:rPr>
          <w:b/>
        </w:rPr>
      </w:pPr>
      <w:r>
        <w:rPr>
          <w:rFonts w:hint="eastAsia"/>
          <w:b/>
        </w:rPr>
        <w:t>7.深圳发文开展智能网联汽车应用示范</w:t>
      </w:r>
    </w:p>
    <w:p>
      <w:r>
        <w:t>8月10日，深圳市交通运输局、市发展改革委、市工业和信息化局、市公安交警局联合印发的《深圳市关于推进智能网联汽车应用示范的指导意见》正式实施。深圳将采用定点定线的形式在细分领域先行开展智能网联汽车应用示范，包括载人、城市环卫作业和载货及其它专项作业应用示范。</w:t>
      </w:r>
    </w:p>
    <w:p>
      <w:r>
        <w:rPr>
          <w:rFonts w:hint="eastAsia"/>
        </w:rPr>
        <w:t>在前期开放</w:t>
      </w:r>
      <w:r>
        <w:t>124公里道路进行测试的基础上，深圳将由点及面逐步开放更多更复杂道路环境，开展多场景多模式示范应用，逐步实现深圳智能网联汽车技术落地及商业化运营。</w:t>
      </w:r>
    </w:p>
    <w:p>
      <w:r>
        <w:rPr>
          <w:rFonts w:hint="eastAsia"/>
        </w:rPr>
        <w:t>意见明确了载人、城市环卫作业和载货及其它特种作业三种应用示范场景。在满足现有规章制度、保障安全条件下，除开放道路外，深圳鼓励半封闭独立功能区进行智能网联汽车应用示范，即大学校园、港口、物流园、工业园、公共绿化公园、景区等具有明显围蔽特征的场地。</w:t>
      </w:r>
    </w:p>
    <w:p>
      <w:pPr>
        <w:rPr>
          <w:rFonts w:cs="宋体"/>
          <w:b/>
          <w:bCs/>
          <w:i/>
          <w:iCs/>
        </w:rPr>
      </w:pPr>
      <w:r>
        <w:rPr>
          <w:rFonts w:hint="eastAsia" w:cs="宋体"/>
          <w:b/>
          <w:bCs/>
          <w:i/>
          <w:iCs/>
        </w:rPr>
        <w:t>分析：。</w:t>
      </w:r>
    </w:p>
    <w:p>
      <w:pPr>
        <w:jc w:val="left"/>
        <w:outlineLvl w:val="1"/>
      </w:pPr>
      <w:r>
        <w:rPr>
          <w:rFonts w:hint="eastAsia"/>
          <w:b/>
        </w:rPr>
        <w:t>8.宜昌取消皮卡限行</w:t>
      </w:r>
      <w:r>
        <w:rPr>
          <w:b/>
        </w:rPr>
        <w:t>湖北16个市（州）全面解禁</w:t>
      </w:r>
    </w:p>
    <w:p>
      <w:r>
        <w:rPr>
          <w:rFonts w:hint="eastAsia"/>
        </w:rPr>
        <w:t>据宜昌市人民政府官网消息，</w:t>
      </w:r>
      <w:r>
        <w:t>2020年8月6日宜昌市出台《宜昌市公安机关出台13条措施优化营商环境》，其中第10条明确全市取消皮卡车城区限行措施，原文如下：</w:t>
      </w:r>
    </w:p>
    <w:p>
      <w:r>
        <w:rPr>
          <w:rFonts w:hint="eastAsia"/>
        </w:rPr>
        <w:t>其中第十条提出，强化交通安全服务保障。对复工复产、企业运输车辆轻微违法行为以教育、整改为主，慎用处罚措施。取消皮卡车城区限行措施，因地制宜放宽城市物流配送车辆通行限制，取消微型货车、轻型密闭式厢式货车城区限行措施。在部分非城市主次干道实施弹性停车措施，有效缓解夜市周边道路停车难问题，服务“夜间经济”发展。</w:t>
      </w:r>
    </w:p>
    <w:p>
      <w:r>
        <w:t>2020年6月中旬，湖北省人民政府办公厅印发《应对疫情影响进一步促进商业消费若干措施》的通知，多渠道推动商业消费提质扩容，并在第三条“提振汽车消费”中提出“取消皮卡车进城限制”，再次在全省范围内提出皮卡解禁。时隔仅两个月，宜昌市政府宣布皮卡解禁，积极响应了湖北省人民政府的号召，对民生问题显现出高度重视的态度，并且进一步推进了全国放开皮卡的力度和广度，这反映出湖北在三年的解禁试点工作中，通过评估效果，调整、完善试点政策，肯定了皮卡解禁的利好作用，以及皮卡车在促进汽车消费中的地位，更将促进国内皮卡进城的步伐不断</w:t>
      </w:r>
      <w:r>
        <w:rPr>
          <w:rFonts w:hint="eastAsia"/>
        </w:rPr>
        <w:t>加快。</w:t>
      </w:r>
    </w:p>
    <w:p>
      <w:r>
        <w:rPr>
          <w:rFonts w:hint="eastAsia"/>
        </w:rPr>
        <w:t>湖北是我国第二批皮卡解禁试点地区，早在</w:t>
      </w:r>
      <w:r>
        <w:t>2017年年初便响应号召，逐步放开皮卡进城限制。根据此前湖北省政府颁布的通知，十堰、荆州、襄阳、鄂州、荆门、黄冈、孝感、咸宁、恩施、仙桃、潜江、天门、随州、神农架林区、江汉油田等15个市(州)全区域、全天候取消限行，武汉、宜昌、黄石等3个市则是放宽进城限制。在未来，湖北仍对皮卡有所限制的城市将进一步减少，16个市(州)对皮卡不设限使得百姓的用车环境将更加开放。</w:t>
      </w:r>
    </w:p>
    <w:p>
      <w:pPr>
        <w:rPr>
          <w:rFonts w:cs="宋体"/>
          <w:b/>
          <w:bCs/>
          <w:i/>
          <w:iCs/>
        </w:rPr>
      </w:pPr>
      <w:r>
        <w:rPr>
          <w:rFonts w:hint="eastAsia" w:cs="宋体"/>
          <w:b/>
          <w:bCs/>
          <w:i/>
          <w:iCs/>
        </w:rPr>
        <w:t>分析：。</w:t>
      </w:r>
    </w:p>
    <w:p>
      <w:pPr>
        <w:rPr>
          <w:rFonts w:cs="宋体"/>
          <w:b/>
          <w:bCs/>
          <w:i/>
          <w:iCs/>
        </w:rPr>
      </w:pPr>
    </w:p>
    <w:p>
      <w:pPr>
        <w:pStyle w:val="17"/>
        <w:numPr>
          <w:ilvl w:val="0"/>
          <w:numId w:val="8"/>
        </w:numPr>
        <w:ind w:firstLineChars="0"/>
        <w:outlineLvl w:val="0"/>
        <w:rPr>
          <w:b/>
        </w:rPr>
      </w:pPr>
      <w:r>
        <w:rPr>
          <w:rFonts w:hint="eastAsia" w:cs="宋体"/>
          <w:b/>
          <w:bCs/>
        </w:rPr>
        <w:t>跨国集团和国际市场</w:t>
      </w:r>
    </w:p>
    <w:p>
      <w:pPr>
        <w:pStyle w:val="17"/>
        <w:numPr>
          <w:ilvl w:val="0"/>
          <w:numId w:val="10"/>
        </w:numPr>
        <w:ind w:firstLineChars="0"/>
        <w:outlineLvl w:val="1"/>
        <w:rPr>
          <w:b/>
        </w:rPr>
      </w:pPr>
      <w:r>
        <w:rPr>
          <w:b/>
        </w:rPr>
        <w:t>宝马2030计划曝光700万辆新能源车上路</w:t>
      </w:r>
    </w:p>
    <w:p>
      <w:r>
        <w:rPr>
          <w:rFonts w:hint="eastAsia"/>
        </w:rPr>
        <w:t>宝马集团对外宣布，计划到</w:t>
      </w:r>
      <w:r>
        <w:t>2030年生产700万辆新能源汽车，其中三分之二为纯电动车型。</w:t>
      </w:r>
    </w:p>
    <w:p>
      <w:r>
        <w:rPr>
          <w:rFonts w:hint="eastAsia"/>
        </w:rPr>
        <w:t>宝马方面补充说，到</w:t>
      </w:r>
      <w:r>
        <w:t>2030年，集团目标是在从供应链到使用结束的车辆整个生命周期中，将每辆车的碳排放量降低至少三分之一，同时，其工厂的碳排放量将比2019年减少80%。</w:t>
      </w:r>
    </w:p>
    <w:p>
      <w:pPr>
        <w:rPr>
          <w:rFonts w:cs="宋体"/>
          <w:b/>
          <w:bCs/>
          <w:i/>
          <w:iCs/>
        </w:rPr>
      </w:pPr>
      <w:r>
        <w:rPr>
          <w:rFonts w:hint="eastAsia" w:cs="宋体"/>
          <w:b/>
          <w:bCs/>
          <w:i/>
          <w:iCs/>
        </w:rPr>
        <w:t>分析：。</w:t>
      </w:r>
    </w:p>
    <w:p>
      <w:pPr>
        <w:pStyle w:val="17"/>
        <w:numPr>
          <w:ilvl w:val="0"/>
          <w:numId w:val="10"/>
        </w:numPr>
        <w:ind w:firstLineChars="0"/>
        <w:outlineLvl w:val="1"/>
        <w:rPr>
          <w:b/>
        </w:rPr>
      </w:pPr>
      <w:r>
        <w:rPr>
          <w:rFonts w:hint="eastAsia"/>
          <w:b/>
        </w:rPr>
        <w:t>保时捷与马勒合作</w:t>
      </w:r>
      <w:r>
        <w:rPr>
          <w:b/>
        </w:rPr>
        <w:t>3D打印铝制活塞</w:t>
      </w:r>
    </w:p>
    <w:p>
      <w:r>
        <w:rPr>
          <w:rFonts w:hint="eastAsia"/>
        </w:rPr>
        <w:t>作为与跑车制造商保时捷以及机械制造公司通快集团合作的一部分，德国汽车零部件制造商马勒首次利用</w:t>
      </w:r>
      <w:r>
        <w:t>3D打印技术，生产了高性能的铝制活塞，而且成功在保时捷911GT2RS跑车的发动机试验台上通过了测试。虽然标准锻造法制造的活塞已经达到了性能潜力的极限，但是，还是有可能通过提高其效率，将保时捷700HP发动机的功率提升30HP。马勒就正在研发其3D打印技术，未来，该公司将能够通过为驱动系统、热管理和机电一体化系统提供合适的部件，为电机等替代性驱动系统领域的客户提供支持。</w:t>
      </w:r>
    </w:p>
    <w:p>
      <w:pPr>
        <w:rPr>
          <w:rFonts w:cs="宋体"/>
          <w:b/>
          <w:bCs/>
          <w:i/>
          <w:iCs/>
        </w:rPr>
      </w:pPr>
      <w:r>
        <w:rPr>
          <w:rFonts w:hint="eastAsia" w:cs="宋体"/>
          <w:b/>
          <w:bCs/>
          <w:i/>
          <w:iCs/>
        </w:rPr>
        <w:t>分析：。</w:t>
      </w:r>
    </w:p>
    <w:p>
      <w:pPr>
        <w:pStyle w:val="17"/>
        <w:numPr>
          <w:ilvl w:val="0"/>
          <w:numId w:val="10"/>
        </w:numPr>
        <w:ind w:firstLineChars="0"/>
        <w:outlineLvl w:val="1"/>
        <w:rPr>
          <w:b/>
        </w:rPr>
      </w:pPr>
      <w:r>
        <w:rPr>
          <w:b/>
        </w:rPr>
        <w:t>大众或将推纯电皮卡Amarok</w:t>
      </w:r>
    </w:p>
    <w:p>
      <w:r>
        <w:rPr>
          <w:rFonts w:hint="eastAsia"/>
        </w:rPr>
        <w:t>大众汽车电动汽车董事会成员</w:t>
      </w:r>
      <w:r>
        <w:t>ThomasUlbrich在接受外媒采访时表示，“公司对打造电动皮卡有很大的兴趣”，而大众的纯电皮卡车型最有可能是旗下的Amarok纯电动版，这将是大众汽车原计划到2029年增加的75款纯电动车型中的一款，新车或将在大众MEB平台上诞生。</w:t>
      </w:r>
    </w:p>
    <w:p>
      <w:pPr>
        <w:rPr>
          <w:rFonts w:cs="宋体"/>
          <w:b/>
          <w:bCs/>
          <w:i/>
          <w:iCs/>
        </w:rPr>
      </w:pPr>
      <w:r>
        <w:rPr>
          <w:rFonts w:hint="eastAsia" w:cs="宋体"/>
          <w:b/>
          <w:bCs/>
          <w:i/>
          <w:iCs/>
        </w:rPr>
        <w:t>分析：。</w:t>
      </w:r>
    </w:p>
    <w:p>
      <w:pPr>
        <w:pStyle w:val="17"/>
        <w:numPr>
          <w:ilvl w:val="0"/>
          <w:numId w:val="10"/>
        </w:numPr>
        <w:ind w:firstLineChars="0"/>
        <w:outlineLvl w:val="1"/>
        <w:rPr>
          <w:b/>
        </w:rPr>
      </w:pPr>
      <w:r>
        <w:rPr>
          <w:rFonts w:hint="eastAsia"/>
          <w:b/>
        </w:rPr>
        <w:t>大众建立北美首个电动车组装车间并自研电池</w:t>
      </w:r>
    </w:p>
    <w:p>
      <w:r>
        <w:t>8月12日，大众汽车宣布，该公司将扩建其美国田纳西州Chattanooga工厂，以建立北美电动车中心——不仅拥有美国首个电动车组装车间，还包括电动车工程规划中心。</w:t>
      </w:r>
    </w:p>
    <w:p>
      <w:r>
        <w:rPr>
          <w:rFonts w:hint="eastAsia"/>
        </w:rPr>
        <w:t>大众表示，该工程规划中心很快将配备一个先进的高压实验室，专门为将来在美国组装的车型研发和测试电动车电芯和电池包。该高压实验室将配备先进设备，包括压力测试器、防爆级恒温箱以及定制多轴振动台。</w:t>
      </w:r>
    </w:p>
    <w:p>
      <w:r>
        <w:rPr>
          <w:rFonts w:hint="eastAsia" w:cs="宋体"/>
          <w:b/>
          <w:bCs/>
          <w:i/>
          <w:iCs/>
        </w:rPr>
        <w:t>分析：。</w:t>
      </w:r>
    </w:p>
    <w:p>
      <w:pPr>
        <w:pStyle w:val="17"/>
        <w:numPr>
          <w:ilvl w:val="0"/>
          <w:numId w:val="10"/>
        </w:numPr>
        <w:ind w:firstLineChars="0"/>
        <w:outlineLvl w:val="1"/>
        <w:rPr>
          <w:b/>
        </w:rPr>
      </w:pPr>
      <w:r>
        <w:rPr>
          <w:rFonts w:hint="eastAsia"/>
          <w:b/>
        </w:rPr>
        <w:t>戴姆勒近</w:t>
      </w:r>
      <w:r>
        <w:rPr>
          <w:b/>
        </w:rPr>
        <w:t>30亿美元与美国就柴油门达成和解</w:t>
      </w:r>
    </w:p>
    <w:p>
      <w:r>
        <w:t>8月13日，戴姆勒表示已经与美国达成近30亿美元的和解协议，以解决美国监管机构的民事调查和车主提起的诉讼。这些诉讼源于对戴姆勒柴油车辆排放作弊软件的长期调查。</w:t>
      </w:r>
    </w:p>
    <w:p>
      <w:pPr>
        <w:rPr>
          <w:rFonts w:cs="宋体"/>
          <w:b/>
          <w:bCs/>
          <w:i/>
          <w:iCs/>
        </w:rPr>
      </w:pPr>
      <w:r>
        <w:rPr>
          <w:rFonts w:hint="eastAsia" w:cs="宋体"/>
          <w:b/>
          <w:bCs/>
          <w:i/>
          <w:iCs/>
        </w:rPr>
        <w:t>分析：。</w:t>
      </w:r>
    </w:p>
    <w:p>
      <w:pPr>
        <w:pStyle w:val="17"/>
        <w:numPr>
          <w:ilvl w:val="0"/>
          <w:numId w:val="10"/>
        </w:numPr>
        <w:ind w:firstLineChars="0"/>
        <w:outlineLvl w:val="1"/>
        <w:rPr>
          <w:b/>
        </w:rPr>
      </w:pPr>
      <w:r>
        <w:rPr>
          <w:rFonts w:hint="eastAsia"/>
          <w:b/>
        </w:rPr>
        <w:t>德国</w:t>
      </w:r>
      <w:r>
        <w:rPr>
          <w:b/>
        </w:rPr>
        <w:t>7月新车销量微跌5%为年内最好水平</w:t>
      </w:r>
    </w:p>
    <w:p>
      <w:r>
        <w:rPr>
          <w:rFonts w:hint="eastAsia"/>
        </w:rPr>
        <w:t>德国交通部（</w:t>
      </w:r>
      <w:r>
        <w:t>KBA）表示，该国7月新车销量同比下滑5.4%至314,938辆，这是今年以来最好的销量水平。今年前七个月，德国累计汽车销量较去年同比下跌30%至153万辆。</w:t>
      </w:r>
    </w:p>
    <w:p>
      <w:r>
        <w:rPr>
          <w:rFonts w:hint="eastAsia"/>
        </w:rPr>
        <w:t>此前</w:t>
      </w:r>
      <w:r>
        <w:t>4月份，德国汽车销量遭遇今年最大滑坡，跌幅达61%；随后6月销量稍有进步，同比下跌32%；7月受奔驰（上涨11%）、宝马（增长17%）和雷诺（激增30%）销量的提振，该国汽车销量下滑幅度终于放缓。</w:t>
      </w:r>
    </w:p>
    <w:p>
      <w:pPr>
        <w:rPr>
          <w:rFonts w:cs="宋体"/>
          <w:b/>
          <w:bCs/>
          <w:i/>
          <w:iCs/>
        </w:rPr>
      </w:pPr>
      <w:r>
        <w:rPr>
          <w:rFonts w:hint="eastAsia" w:cs="宋体"/>
          <w:b/>
          <w:bCs/>
          <w:i/>
          <w:iCs/>
        </w:rPr>
        <w:t>分析：。</w:t>
      </w:r>
    </w:p>
    <w:p>
      <w:pPr>
        <w:pStyle w:val="17"/>
        <w:numPr>
          <w:ilvl w:val="0"/>
          <w:numId w:val="10"/>
        </w:numPr>
        <w:ind w:firstLineChars="0"/>
        <w:outlineLvl w:val="1"/>
        <w:rPr>
          <w:b/>
        </w:rPr>
      </w:pPr>
      <w:r>
        <w:rPr>
          <w:rFonts w:hint="eastAsia"/>
          <w:b/>
        </w:rPr>
        <w:t>俄罗斯</w:t>
      </w:r>
      <w:r>
        <w:rPr>
          <w:b/>
        </w:rPr>
        <w:t>7月汽车销量上涨7%拉达现代销量强劲</w:t>
      </w:r>
    </w:p>
    <w:p>
      <w:r>
        <w:rPr>
          <w:rFonts w:hint="eastAsia"/>
        </w:rPr>
        <w:t>欧洲商业协会（</w:t>
      </w:r>
      <w:r>
        <w:t>AEB）的数据显示，俄罗斯7月新车销量上涨6.8%至141,924辆，这激起了人们希望车市能继续反弹的乐观情绪。</w:t>
      </w:r>
    </w:p>
    <w:p>
      <w:r>
        <w:t>AEB数据显示，就7月品牌销量而言，拉达、起亚、现代、斯柯达和雷诺等品牌销售势头均向好。因市场对Granta和Vesta需求强劲（这两款车7月和今年前7个月在俄罗斯的销量分别位居第一和第二），拉达成为俄罗斯最畅销品牌，销量同比上涨6%，售出31,180辆汽车。</w:t>
      </w:r>
    </w:p>
    <w:p>
      <w:pPr>
        <w:rPr>
          <w:rFonts w:cs="宋体"/>
          <w:b/>
          <w:bCs/>
          <w:i/>
          <w:iCs/>
        </w:rPr>
      </w:pPr>
      <w:r>
        <w:rPr>
          <w:rFonts w:hint="eastAsia" w:cs="宋体"/>
          <w:b/>
          <w:bCs/>
          <w:i/>
          <w:iCs/>
        </w:rPr>
        <w:t>分析：。</w:t>
      </w:r>
    </w:p>
    <w:p>
      <w:pPr>
        <w:pStyle w:val="17"/>
        <w:numPr>
          <w:ilvl w:val="0"/>
          <w:numId w:val="10"/>
        </w:numPr>
        <w:ind w:firstLineChars="0"/>
        <w:outlineLvl w:val="1"/>
        <w:rPr>
          <w:b/>
        </w:rPr>
      </w:pPr>
      <w:r>
        <w:rPr>
          <w:b/>
        </w:rPr>
        <w:t>法拉利押注电动车和SUV重塑未来</w:t>
      </w:r>
    </w:p>
    <w:p>
      <w:r>
        <w:rPr>
          <w:rFonts w:hint="eastAsia"/>
        </w:rPr>
        <w:t>一些投资者认为，法拉利可能正在失去吸引力，而另一些投资者则认为，随着该公司追随电动化浪潮和</w:t>
      </w:r>
      <w:r>
        <w:t>SUV车型，长期来看其销量将出现反弹。</w:t>
      </w:r>
    </w:p>
    <w:p>
      <w:r>
        <w:rPr>
          <w:rFonts w:hint="eastAsia"/>
        </w:rPr>
        <w:t>摩根士丹利预计，到</w:t>
      </w:r>
      <w:r>
        <w:t>2025年法拉利将生产1，500辆SUV，EBITDA将增加7.5%，即2亿欧元。</w:t>
      </w:r>
    </w:p>
    <w:p>
      <w:r>
        <w:rPr>
          <w:rFonts w:hint="eastAsia"/>
        </w:rPr>
        <w:t>电动汽车将在法拉利的销量中扮演越来越重要的角色，到</w:t>
      </w:r>
      <w:r>
        <w:t>2025年将从0%增至3%，但到2030年将跃升至20%，到2040年将达到50%。</w:t>
      </w:r>
    </w:p>
    <w:p>
      <w:pPr>
        <w:rPr>
          <w:rFonts w:cs="宋体"/>
          <w:b/>
          <w:bCs/>
          <w:i/>
          <w:iCs/>
        </w:rPr>
      </w:pPr>
      <w:r>
        <w:rPr>
          <w:rFonts w:hint="eastAsia" w:cs="宋体"/>
          <w:b/>
          <w:bCs/>
          <w:i/>
          <w:iCs/>
        </w:rPr>
        <w:t>分析：。</w:t>
      </w:r>
    </w:p>
    <w:p>
      <w:pPr>
        <w:pStyle w:val="17"/>
        <w:numPr>
          <w:ilvl w:val="0"/>
          <w:numId w:val="10"/>
        </w:numPr>
        <w:ind w:firstLineChars="0"/>
        <w:outlineLvl w:val="1"/>
        <w:rPr>
          <w:b/>
        </w:rPr>
      </w:pPr>
      <w:r>
        <w:rPr>
          <w:rFonts w:hint="eastAsia"/>
          <w:b/>
        </w:rPr>
        <w:t>丰田</w:t>
      </w:r>
      <w:r>
        <w:rPr>
          <w:b/>
        </w:rPr>
        <w:t>/马自达阿拉巴马合资工厂投资增加</w:t>
      </w:r>
    </w:p>
    <w:p>
      <w:r>
        <w:t>8月13日，丰田与马自达宣布，双方将投资23亿美元在阿拉巴马建设合资工厂，投资金额比2018年宣布的最初计划多出了8.3亿美元。</w:t>
      </w:r>
    </w:p>
    <w:p>
      <w:pPr>
        <w:rPr>
          <w:rFonts w:cs="宋体"/>
          <w:b/>
          <w:bCs/>
          <w:i/>
          <w:iCs/>
        </w:rPr>
      </w:pPr>
      <w:r>
        <w:rPr>
          <w:rFonts w:hint="eastAsia" w:cs="宋体"/>
          <w:b/>
          <w:bCs/>
          <w:i/>
          <w:iCs/>
        </w:rPr>
        <w:t>分析：。</w:t>
      </w:r>
    </w:p>
    <w:p>
      <w:pPr>
        <w:pStyle w:val="17"/>
        <w:numPr>
          <w:ilvl w:val="0"/>
          <w:numId w:val="10"/>
        </w:numPr>
        <w:ind w:firstLineChars="0"/>
        <w:outlineLvl w:val="1"/>
        <w:rPr>
          <w:b/>
        </w:rPr>
      </w:pPr>
      <w:r>
        <w:rPr>
          <w:rFonts w:hint="eastAsia"/>
          <w:b/>
        </w:rPr>
        <w:t>康明斯和纳威司达宣布新的长期合作协议</w:t>
      </w:r>
    </w:p>
    <w:p>
      <w:r>
        <w:t>2020年8月13日获悉，全球动力解决方案供应商康明斯公司(纽约证券交易所代码：CMI)与纳威司达公司(纽约证券交易所代码：NAV)近日宣布，双方合作再进一步，将现有的长期合作协议延长到接下来的两个排放周期，康明斯成为纳威司达公司在美国和加拿大市场，万国(International)系列卡车及IC系列客车的中重型大缸径发动机首选供应商。</w:t>
      </w:r>
    </w:p>
    <w:p>
      <w:pPr>
        <w:rPr>
          <w:rFonts w:cs="宋体"/>
          <w:b/>
          <w:bCs/>
          <w:i/>
          <w:iCs/>
        </w:rPr>
      </w:pPr>
      <w:r>
        <w:rPr>
          <w:rFonts w:hint="eastAsia" w:cs="宋体"/>
          <w:b/>
          <w:bCs/>
          <w:i/>
          <w:iCs/>
        </w:rPr>
        <w:t>分析：。</w:t>
      </w:r>
    </w:p>
    <w:p>
      <w:pPr>
        <w:pStyle w:val="17"/>
        <w:numPr>
          <w:ilvl w:val="0"/>
          <w:numId w:val="10"/>
        </w:numPr>
        <w:ind w:firstLineChars="0"/>
        <w:outlineLvl w:val="1"/>
        <w:rPr>
          <w:b/>
        </w:rPr>
      </w:pPr>
      <w:r>
        <w:rPr>
          <w:rFonts w:hint="eastAsia"/>
          <w:b/>
        </w:rPr>
        <w:t>日本和英国汽车关税将维持至</w:t>
      </w:r>
      <w:r>
        <w:rPr>
          <w:b/>
        </w:rPr>
        <w:t>2026年</w:t>
      </w:r>
    </w:p>
    <w:p>
      <w:r>
        <w:rPr>
          <w:rFonts w:hint="eastAsia"/>
        </w:rPr>
        <w:t>日本和英国同意在</w:t>
      </w:r>
      <w:r>
        <w:t>2026年取消汽车关税，尽管日本此前希望能提前取消关税。</w:t>
      </w:r>
    </w:p>
    <w:p>
      <w:r>
        <w:rPr>
          <w:rFonts w:hint="eastAsia"/>
        </w:rPr>
        <w:t>日本外相茂木敏充目前正在伦敦与英国贸易大臣特拉斯进行谈判。特拉斯在一份声明中表示，双方“已经就协议的主要内容达成共识”，将在</w:t>
      </w:r>
      <w:r>
        <w:t>8月底之前就一项贸易协议的原则达成一致。</w:t>
      </w:r>
    </w:p>
    <w:p>
      <w:pPr>
        <w:rPr>
          <w:rFonts w:cs="宋体"/>
          <w:b/>
          <w:bCs/>
          <w:i/>
          <w:iCs/>
        </w:rPr>
      </w:pPr>
      <w:r>
        <w:rPr>
          <w:rFonts w:hint="eastAsia" w:cs="宋体"/>
          <w:b/>
          <w:bCs/>
          <w:i/>
          <w:iCs/>
        </w:rPr>
        <w:t>分析：。</w:t>
      </w:r>
    </w:p>
    <w:p>
      <w:pPr>
        <w:pStyle w:val="17"/>
        <w:numPr>
          <w:ilvl w:val="0"/>
          <w:numId w:val="10"/>
        </w:numPr>
        <w:ind w:firstLineChars="0"/>
        <w:outlineLvl w:val="1"/>
        <w:rPr>
          <w:b/>
        </w:rPr>
      </w:pPr>
      <w:r>
        <w:rPr>
          <w:b/>
        </w:rPr>
        <w:t>特斯拉超级工厂有新进展1亿美元买地</w:t>
      </w:r>
    </w:p>
    <w:p>
      <w:r>
        <w:rPr>
          <w:rFonts w:hint="eastAsia"/>
        </w:rPr>
        <w:t>特斯拉奥斯汀超级工厂土地交易金额曝光，特斯拉为买地花费了将近</w:t>
      </w:r>
      <w:r>
        <w:t>1亿美元。</w:t>
      </w:r>
    </w:p>
    <w:p>
      <w:r>
        <w:rPr>
          <w:rFonts w:hint="eastAsia"/>
        </w:rPr>
        <w:t>据悉，奥斯汀超级工厂是特斯拉位于美国本土的第二座整车工厂，目前已经开始动工。由于公司旗下车型在全球范围内热销，仅靠美国加州与中国上海超级工厂来生产车辆显然已经无法满足市场需求，特斯拉急需新的工厂来提升产能。</w:t>
      </w:r>
    </w:p>
    <w:p>
      <w:pPr>
        <w:rPr>
          <w:rFonts w:cs="宋体"/>
          <w:b/>
          <w:bCs/>
          <w:i/>
          <w:iCs/>
        </w:rPr>
      </w:pPr>
      <w:r>
        <w:rPr>
          <w:rFonts w:hint="eastAsia" w:cs="宋体"/>
          <w:b/>
          <w:bCs/>
          <w:i/>
          <w:iCs/>
        </w:rPr>
        <w:t>分析：。</w:t>
      </w:r>
    </w:p>
    <w:p>
      <w:pPr>
        <w:pStyle w:val="17"/>
        <w:numPr>
          <w:ilvl w:val="0"/>
          <w:numId w:val="10"/>
        </w:numPr>
        <w:ind w:firstLineChars="0"/>
        <w:outlineLvl w:val="1"/>
        <w:rPr>
          <w:b/>
        </w:rPr>
      </w:pPr>
      <w:r>
        <w:rPr>
          <w:rFonts w:hint="eastAsia"/>
          <w:b/>
        </w:rPr>
        <w:t>特斯拉斥资近</w:t>
      </w:r>
      <w:r>
        <w:rPr>
          <w:b/>
        </w:rPr>
        <w:t>1亿美元为其德州超级工厂买地</w:t>
      </w:r>
    </w:p>
    <w:p>
      <w:r>
        <w:t>特斯拉花了近1亿美元在奥斯汀买下了一块土地，以建造其德州超级工厂。工厂占地约2000英亩，是该公司迄今为止面积最大的地产，距离奥斯汀机场约5分钟路程，距离奥斯汀市中心约15分钟。</w:t>
      </w:r>
    </w:p>
    <w:p>
      <w:pPr>
        <w:rPr>
          <w:rFonts w:cs="宋体"/>
          <w:b/>
          <w:bCs/>
          <w:i/>
          <w:iCs/>
        </w:rPr>
      </w:pPr>
      <w:r>
        <w:rPr>
          <w:rFonts w:hint="eastAsia" w:cs="宋体"/>
          <w:b/>
          <w:bCs/>
          <w:i/>
          <w:iCs/>
        </w:rPr>
        <w:t>分析：。</w:t>
      </w:r>
    </w:p>
    <w:p>
      <w:pPr>
        <w:pStyle w:val="17"/>
        <w:numPr>
          <w:ilvl w:val="0"/>
          <w:numId w:val="10"/>
        </w:numPr>
        <w:ind w:firstLineChars="0"/>
        <w:outlineLvl w:val="1"/>
        <w:rPr>
          <w:b/>
        </w:rPr>
      </w:pPr>
      <w:r>
        <w:rPr>
          <w:rFonts w:hint="eastAsia"/>
          <w:b/>
        </w:rPr>
        <w:t>特斯拉得州超级工厂全速建设中</w:t>
      </w:r>
    </w:p>
    <w:p>
      <w:r>
        <w:rPr>
          <w:rFonts w:hint="eastAsia"/>
        </w:rPr>
        <w:t>特斯拉汽车业务总裁</w:t>
      </w:r>
      <w:r>
        <w:t>JeromeGuillen表示，该公司“得克萨斯州工厂正在全速建设之中”，当前特斯拉正在为该工厂进行大量招聘。</w:t>
      </w:r>
    </w:p>
    <w:p>
      <w:r>
        <w:rPr>
          <w:rFonts w:hint="eastAsia" w:cs="宋体"/>
          <w:b/>
          <w:bCs/>
          <w:i/>
          <w:iCs/>
        </w:rPr>
        <w:t>分析：。</w:t>
      </w:r>
    </w:p>
    <w:p>
      <w:pPr>
        <w:pStyle w:val="17"/>
        <w:numPr>
          <w:ilvl w:val="0"/>
          <w:numId w:val="10"/>
        </w:numPr>
        <w:ind w:firstLineChars="0"/>
        <w:outlineLvl w:val="1"/>
        <w:rPr>
          <w:b/>
        </w:rPr>
      </w:pPr>
      <w:r>
        <w:rPr>
          <w:b/>
        </w:rPr>
        <w:t>特斯拉官方改色正式上线</w:t>
      </w:r>
    </w:p>
    <w:p>
      <w:r>
        <w:rPr>
          <w:rFonts w:hint="eastAsia"/>
        </w:rPr>
        <w:t>特斯拉官方改色车衣已经正式上线。该产品将率先在北京，上海，广州，深圳，苏州推出，其它城市将在八月中旬上线。本次官方上线的改色服务，更是对其服务的完善，目前特斯拉在售车型仅有黑、白、蓝等几款车漆颜色可选，改色车衣上线后，将极大丰富消费者的选择余地。</w:t>
      </w:r>
    </w:p>
    <w:p>
      <w:pPr>
        <w:rPr>
          <w:rFonts w:cs="宋体"/>
          <w:b/>
          <w:bCs/>
          <w:i/>
          <w:iCs/>
        </w:rPr>
      </w:pPr>
      <w:r>
        <w:rPr>
          <w:rFonts w:hint="eastAsia" w:cs="宋体"/>
          <w:b/>
          <w:bCs/>
          <w:i/>
          <w:iCs/>
        </w:rPr>
        <w:t>分析：。</w:t>
      </w:r>
    </w:p>
    <w:p>
      <w:pPr>
        <w:pStyle w:val="17"/>
        <w:numPr>
          <w:ilvl w:val="0"/>
          <w:numId w:val="10"/>
        </w:numPr>
        <w:ind w:firstLineChars="0"/>
        <w:outlineLvl w:val="1"/>
        <w:rPr>
          <w:b/>
        </w:rPr>
      </w:pPr>
      <w:r>
        <w:rPr>
          <w:rFonts w:hint="eastAsia"/>
          <w:b/>
        </w:rPr>
        <w:t>提供无线供电方案</w:t>
      </w:r>
      <w:r>
        <w:rPr>
          <w:b/>
        </w:rPr>
        <w:t>丰田合成牵手Ossia</w:t>
      </w:r>
    </w:p>
    <w:p>
      <w:r>
        <w:rPr>
          <w:rFonts w:hint="eastAsia"/>
        </w:rPr>
        <w:t>日本丰田合成公司宣布与美国初创公司</w:t>
      </w:r>
      <w:r>
        <w:t>Ossia展开合作，双方致力于将无线供电技术应用于汽车座舱、智能城市等领域。</w:t>
      </w:r>
    </w:p>
    <w:p>
      <w:pPr>
        <w:rPr>
          <w:rFonts w:cs="宋体"/>
          <w:b/>
          <w:bCs/>
          <w:i/>
          <w:iCs/>
        </w:rPr>
      </w:pPr>
      <w:r>
        <w:rPr>
          <w:rFonts w:hint="eastAsia" w:cs="宋体"/>
          <w:b/>
          <w:bCs/>
          <w:i/>
          <w:iCs/>
        </w:rPr>
        <w:t>分析：。</w:t>
      </w:r>
    </w:p>
    <w:p>
      <w:pPr>
        <w:pStyle w:val="17"/>
        <w:numPr>
          <w:ilvl w:val="0"/>
          <w:numId w:val="10"/>
        </w:numPr>
        <w:ind w:firstLineChars="0"/>
        <w:outlineLvl w:val="1"/>
      </w:pPr>
      <w:r>
        <w:rPr>
          <w:rFonts w:hint="eastAsia"/>
          <w:b/>
        </w:rPr>
        <w:t>沃尔沃随车管家添加预约与路边援助服务</w:t>
      </w:r>
    </w:p>
    <w:p>
      <w:r>
        <w:rPr>
          <w:rFonts w:hint="eastAsia"/>
        </w:rPr>
        <w:t>沃尔沃汽车扩展了其沃尔沃随车管家（</w:t>
      </w:r>
      <w:r>
        <w:t>VolvoonCall）智能手机应用的功能，以支持数字化服务预订和路边援助，为客户提供个性化、可持续性且安全的出行方式。新集成的功能旨在让生活更简单，从而让顾客将时间和精力花在最重要的事情上。</w:t>
      </w:r>
    </w:p>
    <w:p>
      <w:r>
        <w:rPr>
          <w:rFonts w:hint="eastAsia"/>
        </w:rPr>
        <w:t>沃尔沃随车管家应用中新增的数字化服务预订功能可以让用户在方便的时候，</w:t>
      </w:r>
      <w:r>
        <w:t>24小时无缝预约个性化服务。该功能还会提供透明的价格，并在预订大多数服务时提供成本估算信息。对于即将到期的车辆维护与服务预约，应用程序内的提醒信息会让用户了解车辆的最新情况。</w:t>
      </w:r>
    </w:p>
    <w:p>
      <w:r>
        <w:rPr>
          <w:rFonts w:hint="eastAsia"/>
        </w:rPr>
        <w:t>路边援助功能可让呼叫援助变得更容易、更透明。与数字化服务预约功能类似，路边援助功能也会利用用户在购买应用时存储的信息，让所需的信息量降至最低，以节省用户时间，确保准确性。客户可以为一些常见问题要求路边援助，如轮胎更换、车辆启动、燃油不足或车辆解锁，也可以要求通过自动代理将车辆拖到当地零售商处。</w:t>
      </w:r>
    </w:p>
    <w:p>
      <w:pPr>
        <w:rPr>
          <w:rFonts w:cs="宋体"/>
          <w:b/>
          <w:bCs/>
          <w:i/>
          <w:iCs/>
        </w:rPr>
      </w:pPr>
      <w:r>
        <w:rPr>
          <w:rFonts w:hint="eastAsia" w:cs="宋体"/>
          <w:b/>
          <w:bCs/>
          <w:i/>
          <w:iCs/>
        </w:rPr>
        <w:t>分析：。</w:t>
      </w:r>
    </w:p>
    <w:p>
      <w:pPr>
        <w:pStyle w:val="17"/>
        <w:numPr>
          <w:ilvl w:val="0"/>
          <w:numId w:val="10"/>
        </w:numPr>
        <w:ind w:firstLineChars="0"/>
        <w:outlineLvl w:val="1"/>
        <w:rPr>
          <w:b/>
        </w:rPr>
      </w:pPr>
      <w:r>
        <w:rPr>
          <w:rFonts w:hint="eastAsia"/>
          <w:b/>
        </w:rPr>
        <w:t>无人驾驶获新进展</w:t>
      </w:r>
      <w:r>
        <w:rPr>
          <w:b/>
        </w:rPr>
        <w:t>现代索纳塔即将上路测试</w:t>
      </w:r>
    </w:p>
    <w:p>
      <w:r>
        <w:rPr>
          <w:rFonts w:hint="eastAsia"/>
        </w:rPr>
        <w:t>俄罗斯科技巨头</w:t>
      </w:r>
      <w:r>
        <w:t>Yandex对外宣布，公司已将自动驾驶汽车的测试范围扩大至美国密歇根州。据悉，车队中采用了Yandex与现代摩比斯合作研发的第四代自动驾驶汽车现代索纳塔车型。</w:t>
      </w:r>
    </w:p>
    <w:p>
      <w:pPr>
        <w:rPr>
          <w:rFonts w:cs="宋体"/>
          <w:b/>
          <w:bCs/>
          <w:i/>
          <w:iCs/>
        </w:rPr>
      </w:pPr>
      <w:r>
        <w:rPr>
          <w:rFonts w:hint="eastAsia" w:cs="宋体"/>
          <w:b/>
          <w:bCs/>
          <w:i/>
          <w:iCs/>
        </w:rPr>
        <w:t>分析：。</w:t>
      </w:r>
    </w:p>
    <w:p>
      <w:pPr>
        <w:pStyle w:val="17"/>
        <w:numPr>
          <w:ilvl w:val="0"/>
          <w:numId w:val="10"/>
        </w:numPr>
        <w:ind w:firstLineChars="0"/>
        <w:outlineLvl w:val="1"/>
        <w:rPr>
          <w:b/>
        </w:rPr>
      </w:pPr>
      <w:r>
        <w:rPr>
          <w:b/>
        </w:rPr>
        <w:t>西班牙7月份新能源汽车销量创纪录</w:t>
      </w:r>
    </w:p>
    <w:p>
      <w:r>
        <w:rPr>
          <w:rFonts w:hint="eastAsia"/>
        </w:rPr>
        <w:t>在新的以旧换新政策的推动下，西班牙汽车市场逐渐从疫情导致的低谷中恢复起来，今年</w:t>
      </w:r>
      <w:r>
        <w:t>7月该国汽车销量实现了1%的增长。今年迄今，西班牙新车销量同比降幅收窄至43%。</w:t>
      </w:r>
    </w:p>
    <w:p>
      <w:pPr>
        <w:rPr>
          <w:rFonts w:cs="宋体"/>
          <w:b/>
          <w:bCs/>
          <w:i/>
          <w:iCs/>
        </w:rPr>
      </w:pPr>
      <w:r>
        <w:rPr>
          <w:rFonts w:hint="eastAsia" w:cs="宋体"/>
          <w:b/>
          <w:bCs/>
          <w:i/>
          <w:iCs/>
        </w:rPr>
        <w:t>分析：。</w:t>
      </w:r>
    </w:p>
    <w:p>
      <w:pPr>
        <w:pStyle w:val="17"/>
        <w:numPr>
          <w:ilvl w:val="0"/>
          <w:numId w:val="10"/>
        </w:numPr>
        <w:ind w:firstLineChars="0"/>
        <w:outlineLvl w:val="1"/>
        <w:rPr>
          <w:b/>
        </w:rPr>
      </w:pPr>
      <w:r>
        <w:rPr>
          <w:b/>
        </w:rPr>
        <w:t>现代电动专属品牌IONIQ发布</w:t>
      </w:r>
      <w:r>
        <w:rPr>
          <w:rFonts w:hint="eastAsia"/>
          <w:b/>
        </w:rPr>
        <w:t>未来推多款新车</w:t>
      </w:r>
    </w:p>
    <w:p>
      <w:r>
        <w:t>8月10日，现代汽车发布旗下纯电动汽车全新专属品牌IONIQ，现代汽车将依托IONIQ品牌，IONIQ品牌将运用现代汽车在电动汽车领域积累的技术，在未来四年内陆续发布全新三款IONIQ专属电动汽车以及多款创新车型，为消费者带来以用户为中心的电动汽车互联出行体验。</w:t>
      </w:r>
    </w:p>
    <w:p>
      <w:pPr>
        <w:rPr>
          <w:rFonts w:cs="宋体"/>
          <w:b/>
          <w:bCs/>
          <w:i/>
          <w:iCs/>
        </w:rPr>
      </w:pPr>
      <w:r>
        <w:rPr>
          <w:rFonts w:hint="eastAsia" w:cs="宋体"/>
          <w:b/>
          <w:bCs/>
          <w:i/>
          <w:iCs/>
        </w:rPr>
        <w:t>分析：。</w:t>
      </w:r>
    </w:p>
    <w:p>
      <w:pPr>
        <w:pStyle w:val="17"/>
        <w:numPr>
          <w:ilvl w:val="0"/>
          <w:numId w:val="10"/>
        </w:numPr>
        <w:ind w:firstLineChars="0"/>
        <w:outlineLvl w:val="1"/>
        <w:rPr>
          <w:b/>
        </w:rPr>
      </w:pPr>
      <w:r>
        <w:rPr>
          <w:rFonts w:hint="eastAsia"/>
          <w:b/>
        </w:rPr>
        <w:t>现代汽车和</w:t>
      </w:r>
      <w:r>
        <w:rPr>
          <w:b/>
        </w:rPr>
        <w:t>Aptiv合资创办自动驾驶技术公司Motional</w:t>
      </w:r>
    </w:p>
    <w:p>
      <w:r>
        <w:t>现代汽车和安波福（Aptiv）合资创办的自动驾驶技术公司揭晓其正式名称和品牌身份：Motional。Motional总部设在波士顿，团队驻扎在匹兹堡、拉斯维加斯、圣莫尼卡，新加坡和首尔。在首尔最新设立的办事处将成为关键的技术中心和测试地点。</w:t>
      </w:r>
    </w:p>
    <w:p>
      <w:pPr>
        <w:rPr>
          <w:rFonts w:cs="宋体"/>
          <w:b/>
          <w:bCs/>
          <w:i/>
          <w:iCs/>
        </w:rPr>
      </w:pPr>
      <w:r>
        <w:rPr>
          <w:rFonts w:hint="eastAsia" w:cs="宋体"/>
          <w:b/>
          <w:bCs/>
          <w:i/>
          <w:iCs/>
        </w:rPr>
        <w:t>分析：。</w:t>
      </w:r>
    </w:p>
    <w:p>
      <w:pPr>
        <w:pStyle w:val="17"/>
        <w:numPr>
          <w:ilvl w:val="0"/>
          <w:numId w:val="10"/>
        </w:numPr>
        <w:ind w:firstLineChars="0"/>
        <w:outlineLvl w:val="1"/>
        <w:rPr>
          <w:b/>
        </w:rPr>
      </w:pPr>
      <w:r>
        <w:rPr>
          <w:rFonts w:hint="eastAsia"/>
          <w:b/>
        </w:rPr>
        <w:t>现代氢燃料商用车或明年落地资阳</w:t>
      </w:r>
    </w:p>
    <w:p>
      <w:r>
        <w:rPr>
          <w:rFonts w:hint="eastAsia"/>
        </w:rPr>
        <w:t>韩国现代自动车株式会社副社长李仁哲释放了一个重磅消息，他表示现代氢燃料商用车或明年落地资阳，计划明年进入产品准入审批阶段。</w:t>
      </w:r>
    </w:p>
    <w:p>
      <w:pPr>
        <w:pStyle w:val="17"/>
        <w:numPr>
          <w:ilvl w:val="0"/>
          <w:numId w:val="10"/>
        </w:numPr>
        <w:ind w:firstLineChars="0"/>
        <w:outlineLvl w:val="1"/>
        <w:rPr>
          <w:b/>
        </w:rPr>
      </w:pPr>
      <w:r>
        <w:rPr>
          <w:b/>
        </w:rPr>
        <w:t>英国电动车快充桩数量</w:t>
      </w:r>
      <w:r>
        <w:rPr>
          <w:rFonts w:hint="eastAsia"/>
          <w:b/>
        </w:rPr>
        <w:t>过去</w:t>
      </w:r>
      <w:r>
        <w:rPr>
          <w:b/>
        </w:rPr>
        <w:t>5年激增363%</w:t>
      </w:r>
    </w:p>
    <w:p>
      <w:r>
        <w:rPr>
          <w:rFonts w:hint="eastAsia"/>
        </w:rPr>
        <w:t>最新的官方数据显示，过去</w:t>
      </w:r>
      <w:r>
        <w:t>5年，英国的公共电动汽车快速充电桩的数量增加了363%。</w:t>
      </w:r>
    </w:p>
    <w:p>
      <w:pPr>
        <w:rPr>
          <w:rFonts w:cs="宋体"/>
          <w:b/>
          <w:bCs/>
          <w:i/>
          <w:iCs/>
        </w:rPr>
      </w:pPr>
      <w:r>
        <w:rPr>
          <w:rFonts w:hint="eastAsia" w:cs="宋体"/>
          <w:b/>
          <w:bCs/>
          <w:i/>
          <w:iCs/>
        </w:rPr>
        <w:t>分析：。</w:t>
      </w:r>
    </w:p>
    <w:sectPr>
      <w:headerReference r:id="rId3" w:type="default"/>
      <w:pgSz w:w="11906" w:h="16838"/>
      <w:pgMar w:top="1440" w:right="1800" w:bottom="1440" w:left="1800" w:header="567"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10002FF" w:usb1="4000ACFF" w:usb2="00000009" w:usb3="00000000" w:csb0="2000019F" w:csb1="00000000"/>
  </w:font>
  <w:font w:name="等线">
    <w:altName w:val="微软雅黑"/>
    <w:panose1 w:val="02010600030101010101"/>
    <w:charset w:val="86"/>
    <w:family w:val="auto"/>
    <w:pitch w:val="default"/>
    <w:sig w:usb0="00000000" w:usb1="00000000" w:usb2="00000016" w:usb3="00000000" w:csb0="0004000F" w:csb1="00000000"/>
  </w:font>
  <w:font w:name="等线">
    <w:altName w:val="微软雅黑"/>
    <w:panose1 w:val="00000000000000000000"/>
    <w:charset w:val="86"/>
    <w:family w:val="auto"/>
    <w:pitch w:val="default"/>
    <w:sig w:usb0="00000000" w:usb1="00000000" w:usb2="00000000" w:usb3="00000000" w:csb0="00000000" w:csb1="00000000"/>
  </w:font>
  <w:font w:name="等线">
    <w:altName w:val="微软雅黑"/>
    <w:panose1 w:val="00000000000000000000"/>
    <w:charset w:val="86"/>
    <w:family w:val="auto"/>
    <w:pitch w:val="default"/>
    <w:sig w:usb0="00000000" w:usb1="00000000" w:usb2="00000000" w:usb3="00000000" w:csb0="00000000" w:csb1="00000000"/>
  </w:font>
  <w:font w:name="等线 Light">
    <w:altName w:val="宋体"/>
    <w:panose1 w:val="02010600030101010101"/>
    <w:charset w:val="86"/>
    <w:family w:val="auto"/>
    <w:pitch w:val="default"/>
    <w:sig w:usb0="00000000" w:usb1="00000000" w:usb2="00000016" w:usb3="00000000" w:csb0="0004000F" w:csb1="00000000"/>
  </w:font>
  <w:font w:name="微软雅黑">
    <w:panose1 w:val="020B0503020204020204"/>
    <w:charset w:val="86"/>
    <w:family w:val="swiss"/>
    <w:pitch w:val="default"/>
    <w:sig w:usb0="80000287" w:usb1="280F3C52" w:usb2="00000016" w:usb3="00000000" w:csb0="0004001F" w:csb1="00000000"/>
  </w:font>
  <w:font w:name="等线 Light">
    <w:altName w:val="Segoe Print"/>
    <w:panose1 w:val="00000000000000000000"/>
    <w:charset w:val="00"/>
    <w:family w:val="auto"/>
    <w:pitch w:val="default"/>
    <w:sig w:usb0="00000000" w:usb1="00000000" w:usb2="00000000" w:usb3="00000000" w:csb0="00000000" w:csb1="00000000"/>
  </w:font>
  <w:font w:name="Segoe Print">
    <w:panose1 w:val="02000600000000000000"/>
    <w:charset w:val="00"/>
    <w:family w:val="auto"/>
    <w:pitch w:val="default"/>
    <w:sig w:usb0="0000028F" w:usb1="00000000" w:usb2="00000000" w:usb3="00000000" w:csb0="2000009F" w:csb1="47010000"/>
  </w:font>
  <w:font w:name="等线">
    <w:altName w:val="微软雅黑"/>
    <w:panose1 w:val="00000000000000000000"/>
    <w:charset w:val="00"/>
    <w:family w:val="auto"/>
    <w:pitch w:val="default"/>
    <w:sig w:usb0="00000000" w:usb1="00000000" w:usb2="00000000" w:usb3="00000000" w:csb0="00000000" w:csb1="00000000"/>
  </w:font>
</w:font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
      <w:jc w:val="left"/>
    </w:pPr>
    <w:r>
      <w:drawing>
        <wp:inline distT="0" distB="0" distL="0" distR="0">
          <wp:extent cx="895350" cy="292100"/>
          <wp:effectExtent l="0" t="0" r="0" b="0"/>
          <wp:docPr id="1" name="图片 1" descr="乘联会组合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乘联会组合LOG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a:xfrm>
                    <a:off x="0" y="0"/>
                    <a:ext cx="895350" cy="292100"/>
                  </a:xfrm>
                  <a:prstGeom prst="rect">
                    <a:avLst/>
                  </a:prstGeom>
                  <a:noFill/>
                  <a:ln>
                    <a:noFill/>
                  </a:ln>
                </pic:spPr>
              </pic:pic>
            </a:graphicData>
          </a:graphic>
        </wp:inline>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1B92B92"/>
    <w:multiLevelType w:val="multilevel"/>
    <w:tmpl w:val="11B92B92"/>
    <w:lvl w:ilvl="0" w:tentative="0">
      <w:start w:val="1"/>
      <w:numFmt w:val="chineseCountingThousand"/>
      <w:lvlText w:val="%1、"/>
      <w:lvlJc w:val="left"/>
      <w:pPr>
        <w:ind w:left="225" w:hanging="225"/>
      </w:pPr>
      <w:rPr>
        <w:rFonts w:hint="default"/>
        <w:lang w:val="en-US"/>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
    <w:nsid w:val="13B003BF"/>
    <w:multiLevelType w:val="multilevel"/>
    <w:tmpl w:val="13B003BF"/>
    <w:lvl w:ilvl="0" w:tentative="0">
      <w:start w:val="4"/>
      <w:numFmt w:val="japaneseCounting"/>
      <w:lvlText w:val="%1、"/>
      <w:lvlJc w:val="left"/>
      <w:pPr>
        <w:ind w:left="435" w:hanging="435"/>
      </w:pPr>
      <w:rPr>
        <w:rFonts w:hint="default"/>
        <w:b/>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
    <w:nsid w:val="45A45500"/>
    <w:multiLevelType w:val="multilevel"/>
    <w:tmpl w:val="45A45500"/>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3">
    <w:nsid w:val="4A282915"/>
    <w:multiLevelType w:val="multilevel"/>
    <w:tmpl w:val="4A282915"/>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4">
    <w:nsid w:val="5794E7AB"/>
    <w:multiLevelType w:val="singleLevel"/>
    <w:tmpl w:val="5794E7AB"/>
    <w:lvl w:ilvl="0" w:tentative="0">
      <w:start w:val="1"/>
      <w:numFmt w:val="decimal"/>
      <w:lvlText w:val="%1."/>
      <w:lvlJc w:val="left"/>
      <w:pPr>
        <w:ind w:left="420" w:hanging="420"/>
      </w:pPr>
      <w:rPr>
        <w:rFonts w:hint="default"/>
      </w:rPr>
    </w:lvl>
  </w:abstractNum>
  <w:abstractNum w:abstractNumId="5">
    <w:nsid w:val="57CC5A31"/>
    <w:multiLevelType w:val="singleLevel"/>
    <w:tmpl w:val="57CC5A31"/>
    <w:lvl w:ilvl="0" w:tentative="0">
      <w:start w:val="1"/>
      <w:numFmt w:val="decimal"/>
      <w:lvlText w:val="%1."/>
      <w:lvlJc w:val="left"/>
      <w:pPr>
        <w:tabs>
          <w:tab w:val="left" w:pos="425"/>
        </w:tabs>
        <w:ind w:left="425" w:hanging="425"/>
      </w:pPr>
      <w:rPr>
        <w:rFonts w:hint="default"/>
      </w:rPr>
    </w:lvl>
  </w:abstractNum>
  <w:abstractNum w:abstractNumId="6">
    <w:nsid w:val="5F410542"/>
    <w:multiLevelType w:val="multilevel"/>
    <w:tmpl w:val="5F410542"/>
    <w:lvl w:ilvl="0" w:tentative="0">
      <w:start w:val="5"/>
      <w:numFmt w:val="japaneseCounting"/>
      <w:lvlText w:val="%1、"/>
      <w:lvlJc w:val="left"/>
      <w:pPr>
        <w:ind w:left="450" w:hanging="450"/>
      </w:pPr>
      <w:rPr>
        <w:rFonts w:hint="default"/>
        <w:b/>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7">
    <w:nsid w:val="5FF05021"/>
    <w:multiLevelType w:val="multilevel"/>
    <w:tmpl w:val="5FF05021"/>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8">
    <w:nsid w:val="77250561"/>
    <w:multiLevelType w:val="multilevel"/>
    <w:tmpl w:val="77250561"/>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9">
    <w:nsid w:val="789D6E71"/>
    <w:multiLevelType w:val="multilevel"/>
    <w:tmpl w:val="789D6E71"/>
    <w:lvl w:ilvl="0" w:tentative="0">
      <w:start w:val="3"/>
      <w:numFmt w:val="japaneseCounting"/>
      <w:lvlText w:val="%1、"/>
      <w:lvlJc w:val="left"/>
      <w:pPr>
        <w:ind w:left="420" w:hanging="420"/>
      </w:pPr>
      <w:rPr>
        <w:rFonts w:hint="default" w:cs="宋体"/>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num w:numId="1">
    <w:abstractNumId w:val="0"/>
  </w:num>
  <w:num w:numId="2">
    <w:abstractNumId w:val="4"/>
  </w:num>
  <w:num w:numId="3">
    <w:abstractNumId w:val="2"/>
  </w:num>
  <w:num w:numId="4">
    <w:abstractNumId w:val="9"/>
  </w:num>
  <w:num w:numId="5">
    <w:abstractNumId w:val="8"/>
  </w:num>
  <w:num w:numId="6">
    <w:abstractNumId w:val="1"/>
  </w:num>
  <w:num w:numId="7">
    <w:abstractNumId w:val="3"/>
  </w:num>
  <w:num w:numId="8">
    <w:abstractNumId w:val="6"/>
  </w:num>
  <w:num w:numId="9">
    <w:abstractNumId w:val="5"/>
  </w:num>
  <w:num w:numId="10">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35445"/>
    <w:rsid w:val="0001373F"/>
    <w:rsid w:val="0004498F"/>
    <w:rsid w:val="00081FD8"/>
    <w:rsid w:val="000B1E09"/>
    <w:rsid w:val="00146667"/>
    <w:rsid w:val="00165AD2"/>
    <w:rsid w:val="001C417E"/>
    <w:rsid w:val="001D5F09"/>
    <w:rsid w:val="001E5270"/>
    <w:rsid w:val="001E5F97"/>
    <w:rsid w:val="0021264F"/>
    <w:rsid w:val="00235445"/>
    <w:rsid w:val="00390282"/>
    <w:rsid w:val="003E42FF"/>
    <w:rsid w:val="0042111D"/>
    <w:rsid w:val="004646E7"/>
    <w:rsid w:val="00545181"/>
    <w:rsid w:val="00585C2E"/>
    <w:rsid w:val="005C7F5D"/>
    <w:rsid w:val="005E4CB3"/>
    <w:rsid w:val="005E5547"/>
    <w:rsid w:val="006220B6"/>
    <w:rsid w:val="00727C3C"/>
    <w:rsid w:val="0074157A"/>
    <w:rsid w:val="00751962"/>
    <w:rsid w:val="00771C72"/>
    <w:rsid w:val="00776BE5"/>
    <w:rsid w:val="0078516E"/>
    <w:rsid w:val="007D2397"/>
    <w:rsid w:val="00877C6A"/>
    <w:rsid w:val="008A26DC"/>
    <w:rsid w:val="008A4BFC"/>
    <w:rsid w:val="008C2DCE"/>
    <w:rsid w:val="009051A3"/>
    <w:rsid w:val="009B15BB"/>
    <w:rsid w:val="009D411E"/>
    <w:rsid w:val="00B205F1"/>
    <w:rsid w:val="00B95037"/>
    <w:rsid w:val="00BB410F"/>
    <w:rsid w:val="00BF7E5B"/>
    <w:rsid w:val="00CE35C6"/>
    <w:rsid w:val="00D21564"/>
    <w:rsid w:val="00D43824"/>
    <w:rsid w:val="00D508C0"/>
    <w:rsid w:val="00DA5E44"/>
    <w:rsid w:val="00DD7DBC"/>
    <w:rsid w:val="00E80F75"/>
    <w:rsid w:val="00F7430E"/>
    <w:rsid w:val="62B31D0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heme="minorHAnsi" w:hAnsiTheme="minorHAnsi" w:eastAsiaTheme="minorEastAsia" w:cstheme="minorBidi"/>
      </w:rPr>
    </w:r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0"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uiPriority="0" w:semiHidden="0" w:name="header"/>
    <w:lsdException w:uiPriority="0"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semiHidden="0" w:name="Hyperlink"/>
    <w:lsdException w:uiPriority="99" w:name="FollowedHyperlink"/>
    <w:lsdException w:qFormat="1" w:unhideWhenUsed="0" w:uiPriority="0"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nhideWhenUsed="0" w:uiPriority="0" w:semiHidden="0" w:name="Balloon Text"/>
    <w:lsdException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paragraph" w:styleId="2">
    <w:name w:val="heading 2"/>
    <w:basedOn w:val="1"/>
    <w:next w:val="1"/>
    <w:link w:val="15"/>
    <w:semiHidden/>
    <w:unhideWhenUsed/>
    <w:qFormat/>
    <w:uiPriority w:val="0"/>
    <w:pPr>
      <w:keepNext/>
      <w:keepLines/>
      <w:spacing w:before="260" w:after="260" w:line="416" w:lineRule="auto"/>
      <w:outlineLvl w:val="1"/>
    </w:pPr>
    <w:rPr>
      <w:rFonts w:asciiTheme="majorHAnsi" w:hAnsiTheme="majorHAnsi" w:eastAsiaTheme="majorEastAsia" w:cstheme="majorBidi"/>
      <w:b/>
      <w:bCs/>
      <w:sz w:val="32"/>
      <w:szCs w:val="32"/>
    </w:rPr>
  </w:style>
  <w:style w:type="character" w:default="1" w:styleId="9">
    <w:name w:val="Default Paragraph Font"/>
    <w:semiHidden/>
    <w:unhideWhenUsed/>
    <w:uiPriority w:val="1"/>
  </w:style>
  <w:style w:type="table" w:default="1" w:styleId="8">
    <w:name w:val="Normal Table"/>
    <w:semiHidden/>
    <w:unhideWhenUsed/>
    <w:uiPriority w:val="99"/>
    <w:tblPr>
      <w:tblCellMar>
        <w:top w:w="0" w:type="dxa"/>
        <w:left w:w="108" w:type="dxa"/>
        <w:bottom w:w="0" w:type="dxa"/>
        <w:right w:w="108" w:type="dxa"/>
      </w:tblCellMar>
    </w:tblPr>
  </w:style>
  <w:style w:type="paragraph" w:styleId="3">
    <w:name w:val="annotation text"/>
    <w:basedOn w:val="1"/>
    <w:link w:val="20"/>
    <w:semiHidden/>
    <w:unhideWhenUsed/>
    <w:uiPriority w:val="99"/>
    <w:pPr>
      <w:jc w:val="left"/>
    </w:pPr>
  </w:style>
  <w:style w:type="paragraph" w:styleId="4">
    <w:name w:val="Balloon Text"/>
    <w:basedOn w:val="1"/>
    <w:link w:val="18"/>
    <w:uiPriority w:val="0"/>
    <w:rPr>
      <w:sz w:val="18"/>
      <w:szCs w:val="18"/>
    </w:rPr>
  </w:style>
  <w:style w:type="paragraph" w:styleId="5">
    <w:name w:val="footer"/>
    <w:basedOn w:val="1"/>
    <w:link w:val="14"/>
    <w:unhideWhenUsed/>
    <w:uiPriority w:val="0"/>
    <w:pPr>
      <w:tabs>
        <w:tab w:val="center" w:pos="4153"/>
        <w:tab w:val="right" w:pos="8306"/>
      </w:tabs>
      <w:snapToGrid w:val="0"/>
      <w:jc w:val="left"/>
    </w:pPr>
    <w:rPr>
      <w:sz w:val="18"/>
      <w:szCs w:val="18"/>
    </w:rPr>
  </w:style>
  <w:style w:type="paragraph" w:styleId="6">
    <w:name w:val="header"/>
    <w:basedOn w:val="1"/>
    <w:link w:val="13"/>
    <w:unhideWhenUsed/>
    <w:uiPriority w:val="0"/>
    <w:pPr>
      <w:pBdr>
        <w:bottom w:val="single" w:color="auto" w:sz="6" w:space="1"/>
      </w:pBdr>
      <w:tabs>
        <w:tab w:val="center" w:pos="4153"/>
        <w:tab w:val="right" w:pos="8306"/>
      </w:tabs>
      <w:snapToGrid w:val="0"/>
      <w:jc w:val="center"/>
    </w:pPr>
    <w:rPr>
      <w:sz w:val="18"/>
      <w:szCs w:val="18"/>
    </w:rPr>
  </w:style>
  <w:style w:type="paragraph" w:styleId="7">
    <w:name w:val="annotation subject"/>
    <w:basedOn w:val="3"/>
    <w:next w:val="3"/>
    <w:link w:val="21"/>
    <w:semiHidden/>
    <w:unhideWhenUsed/>
    <w:uiPriority w:val="99"/>
    <w:rPr>
      <w:b/>
      <w:bCs/>
    </w:rPr>
  </w:style>
  <w:style w:type="character" w:styleId="10">
    <w:name w:val="Strong"/>
    <w:basedOn w:val="9"/>
    <w:qFormat/>
    <w:uiPriority w:val="0"/>
    <w:rPr>
      <w:b/>
    </w:rPr>
  </w:style>
  <w:style w:type="character" w:styleId="11">
    <w:name w:val="Hyperlink"/>
    <w:basedOn w:val="9"/>
    <w:unhideWhenUsed/>
    <w:uiPriority w:val="99"/>
    <w:rPr>
      <w:color w:val="0563C1" w:themeColor="hyperlink"/>
      <w:u w:val="single"/>
      <w14:textFill>
        <w14:solidFill>
          <w14:schemeClr w14:val="hlink"/>
        </w14:solidFill>
      </w14:textFill>
    </w:rPr>
  </w:style>
  <w:style w:type="character" w:styleId="12">
    <w:name w:val="annotation reference"/>
    <w:basedOn w:val="9"/>
    <w:semiHidden/>
    <w:unhideWhenUsed/>
    <w:uiPriority w:val="99"/>
    <w:rPr>
      <w:sz w:val="21"/>
      <w:szCs w:val="21"/>
    </w:rPr>
  </w:style>
  <w:style w:type="character" w:customStyle="1" w:styleId="13">
    <w:name w:val="页眉 字符"/>
    <w:basedOn w:val="9"/>
    <w:link w:val="6"/>
    <w:uiPriority w:val="0"/>
    <w:rPr>
      <w:sz w:val="18"/>
      <w:szCs w:val="18"/>
    </w:rPr>
  </w:style>
  <w:style w:type="character" w:customStyle="1" w:styleId="14">
    <w:name w:val="页脚 字符"/>
    <w:basedOn w:val="9"/>
    <w:link w:val="5"/>
    <w:uiPriority w:val="0"/>
    <w:rPr>
      <w:sz w:val="18"/>
      <w:szCs w:val="18"/>
    </w:rPr>
  </w:style>
  <w:style w:type="character" w:customStyle="1" w:styleId="15">
    <w:name w:val="标题 2 字符"/>
    <w:basedOn w:val="9"/>
    <w:link w:val="2"/>
    <w:semiHidden/>
    <w:uiPriority w:val="0"/>
    <w:rPr>
      <w:rFonts w:asciiTheme="majorHAnsi" w:hAnsiTheme="majorHAnsi" w:eastAsiaTheme="majorEastAsia" w:cstheme="majorBidi"/>
      <w:b/>
      <w:bCs/>
      <w:sz w:val="32"/>
      <w:szCs w:val="32"/>
    </w:rPr>
  </w:style>
  <w:style w:type="paragraph" w:customStyle="1" w:styleId="16">
    <w:name w:val="列出段落1"/>
    <w:basedOn w:val="1"/>
    <w:qFormat/>
    <w:uiPriority w:val="99"/>
    <w:pPr>
      <w:ind w:firstLine="420" w:firstLineChars="200"/>
    </w:pPr>
  </w:style>
  <w:style w:type="paragraph" w:styleId="17">
    <w:name w:val="List Paragraph"/>
    <w:basedOn w:val="1"/>
    <w:qFormat/>
    <w:uiPriority w:val="34"/>
    <w:pPr>
      <w:ind w:firstLine="420" w:firstLineChars="200"/>
    </w:pPr>
  </w:style>
  <w:style w:type="character" w:customStyle="1" w:styleId="18">
    <w:name w:val="批注框文本 字符"/>
    <w:basedOn w:val="9"/>
    <w:link w:val="4"/>
    <w:uiPriority w:val="0"/>
    <w:rPr>
      <w:sz w:val="18"/>
      <w:szCs w:val="18"/>
    </w:rPr>
  </w:style>
  <w:style w:type="character" w:customStyle="1" w:styleId="19">
    <w:name w:val="apple-converted-space"/>
    <w:basedOn w:val="9"/>
    <w:uiPriority w:val="0"/>
  </w:style>
  <w:style w:type="character" w:customStyle="1" w:styleId="20">
    <w:name w:val="批注文字 字符"/>
    <w:basedOn w:val="9"/>
    <w:link w:val="3"/>
    <w:semiHidden/>
    <w:uiPriority w:val="99"/>
    <w:rPr>
      <w:szCs w:val="24"/>
    </w:rPr>
  </w:style>
  <w:style w:type="character" w:customStyle="1" w:styleId="21">
    <w:name w:val="批注主题 字符"/>
    <w:basedOn w:val="20"/>
    <w:link w:val="7"/>
    <w:semiHidden/>
    <w:uiPriority w:val="99"/>
    <w:rPr>
      <w:b/>
      <w:bCs/>
      <w:szCs w:val="24"/>
    </w:rPr>
  </w:style>
  <w:style w:type="character" w:customStyle="1" w:styleId="22">
    <w:name w:val="Unresolved Mention"/>
    <w:basedOn w:val="9"/>
    <w:semiHidden/>
    <w:unhideWhenUsed/>
    <w:uiPriority w:val="99"/>
    <w:rPr>
      <w:color w:val="605E5C"/>
      <w:shd w:val="clear" w:color="auto" w:fill="E1DFDD"/>
    </w:rPr>
  </w:style>
</w:styles>
</file>

<file path=word/_rels/document.xml.rels><?xml version="1.0" encoding="UTF-8" standalone="yes"?>
<Relationships xmlns="http://schemas.openxmlformats.org/package/2006/relationships"><Relationship Id="rId9" Type="http://schemas.openxmlformats.org/officeDocument/2006/relationships/image" Target="media/image6.jpeg"/><Relationship Id="rId8" Type="http://schemas.openxmlformats.org/officeDocument/2006/relationships/image" Target="media/image5.jpeg"/><Relationship Id="rId7" Type="http://schemas.openxmlformats.org/officeDocument/2006/relationships/image" Target="media/image4.jpeg"/><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theme" Target="theme/theme1.xml"/><Relationship Id="rId3" Type="http://schemas.openxmlformats.org/officeDocument/2006/relationships/header" Target="header1.xml"/><Relationship Id="rId29" Type="http://schemas.openxmlformats.org/officeDocument/2006/relationships/fontTable" Target="fontTable.xml"/><Relationship Id="rId28" Type="http://schemas.openxmlformats.org/officeDocument/2006/relationships/numbering" Target="numbering.xml"/><Relationship Id="rId27" Type="http://schemas.openxmlformats.org/officeDocument/2006/relationships/customXml" Target="../customXml/item1.xml"/><Relationship Id="rId26" Type="http://schemas.openxmlformats.org/officeDocument/2006/relationships/image" Target="media/image23.jpeg"/><Relationship Id="rId25" Type="http://schemas.openxmlformats.org/officeDocument/2006/relationships/image" Target="media/image22.jpeg"/><Relationship Id="rId24" Type="http://schemas.openxmlformats.org/officeDocument/2006/relationships/image" Target="media/image21.jpeg"/><Relationship Id="rId23" Type="http://schemas.openxmlformats.org/officeDocument/2006/relationships/image" Target="media/image20.jpeg"/><Relationship Id="rId22" Type="http://schemas.openxmlformats.org/officeDocument/2006/relationships/image" Target="media/image19.jpeg"/><Relationship Id="rId21" Type="http://schemas.openxmlformats.org/officeDocument/2006/relationships/image" Target="media/image18.jpeg"/><Relationship Id="rId20" Type="http://schemas.openxmlformats.org/officeDocument/2006/relationships/image" Target="media/image17.jpeg"/><Relationship Id="rId2" Type="http://schemas.openxmlformats.org/officeDocument/2006/relationships/settings" Target="settings.xml"/><Relationship Id="rId19" Type="http://schemas.openxmlformats.org/officeDocument/2006/relationships/image" Target="media/image16.jpeg"/><Relationship Id="rId18" Type="http://schemas.openxmlformats.org/officeDocument/2006/relationships/image" Target="media/image15.jpeg"/><Relationship Id="rId17" Type="http://schemas.openxmlformats.org/officeDocument/2006/relationships/image" Target="media/image14.jpeg"/><Relationship Id="rId16" Type="http://schemas.openxmlformats.org/officeDocument/2006/relationships/image" Target="media/image13.jpeg"/><Relationship Id="rId15" Type="http://schemas.openxmlformats.org/officeDocument/2006/relationships/image" Target="media/image12.jpeg"/><Relationship Id="rId14" Type="http://schemas.openxmlformats.org/officeDocument/2006/relationships/image" Target="media/image11.jpeg"/><Relationship Id="rId13" Type="http://schemas.openxmlformats.org/officeDocument/2006/relationships/image" Target="media/image10.jpeg"/><Relationship Id="rId12" Type="http://schemas.openxmlformats.org/officeDocument/2006/relationships/image" Target="media/image9.jpeg"/><Relationship Id="rId11" Type="http://schemas.openxmlformats.org/officeDocument/2006/relationships/image" Target="media/image8.jpeg"/><Relationship Id="rId10" Type="http://schemas.openxmlformats.org/officeDocument/2006/relationships/image" Target="media/image7.jpeg"/><Relationship Id="rId1"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20</Pages>
  <Words>2705</Words>
  <Characters>15423</Characters>
  <Lines>128</Lines>
  <Paragraphs>36</Paragraphs>
  <TotalTime>0</TotalTime>
  <ScaleCrop>false</ScaleCrop>
  <LinksUpToDate>false</LinksUpToDate>
  <CharactersWithSpaces>18092</CharactersWithSpaces>
  <Application>WPS Office_11.1.0.9912_F1E327BC-269C-435d-A152-05C5408002CA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2020-08-19T03:52:00Z</dcterms:created>
  <dc:creator>cuidongshu11@outlook.com</dc:creator>
  <cp:lastModifiedBy>亮亮</cp:lastModifiedBy>
  <dcterms:modified xsi:type="dcterms:W3CDTF">2020-08-19T08:13:51Z</dcterms:modified>
  <cp:revision>4</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2052-11.1.0.9912</vt:lpwstr>
  </property>
</Properties>
</file>