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73645" w14:textId="67722454" w:rsidR="00B528E4" w:rsidRDefault="00B528E4" w:rsidP="00B528E4">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46</w:t>
      </w:r>
      <w:r w:rsidRPr="002009FE">
        <w:rPr>
          <w:rFonts w:ascii="黑体" w:eastAsia="黑体" w:cs="黑体" w:hint="eastAsia"/>
          <w:sz w:val="24"/>
        </w:rPr>
        <w:t>期（</w:t>
      </w:r>
      <w:r>
        <w:rPr>
          <w:rFonts w:ascii="黑体" w:eastAsia="黑体" w:cs="黑体"/>
          <w:sz w:val="24"/>
        </w:rPr>
        <w:t>11</w:t>
      </w:r>
      <w:r w:rsidRPr="002009FE">
        <w:rPr>
          <w:rFonts w:ascii="黑体" w:eastAsia="黑体" w:cs="黑体" w:hint="eastAsia"/>
          <w:sz w:val="24"/>
        </w:rPr>
        <w:t>月</w:t>
      </w:r>
      <w:r>
        <w:rPr>
          <w:rFonts w:ascii="黑体" w:eastAsia="黑体" w:cs="黑体"/>
          <w:sz w:val="24"/>
        </w:rPr>
        <w:t>15</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11</w:t>
      </w:r>
      <w:r w:rsidRPr="002009FE">
        <w:rPr>
          <w:rFonts w:ascii="黑体" w:eastAsia="黑体" w:cs="黑体" w:hint="eastAsia"/>
          <w:sz w:val="24"/>
        </w:rPr>
        <w:t>月</w:t>
      </w:r>
      <w:r>
        <w:rPr>
          <w:rFonts w:ascii="黑体" w:eastAsia="黑体" w:cs="黑体"/>
          <w:sz w:val="24"/>
        </w:rPr>
        <w:t>21</w:t>
      </w:r>
      <w:r w:rsidRPr="002009FE">
        <w:rPr>
          <w:rFonts w:ascii="黑体" w:eastAsia="黑体" w:cs="黑体" w:hint="eastAsia"/>
          <w:sz w:val="24"/>
        </w:rPr>
        <w:t>日）</w:t>
      </w:r>
      <w:bookmarkEnd w:id="0"/>
    </w:p>
    <w:p w14:paraId="20E88B8D" w14:textId="77777777" w:rsidR="006F7C38" w:rsidRPr="002009FE" w:rsidRDefault="006F7C38" w:rsidP="00B528E4">
      <w:pPr>
        <w:jc w:val="center"/>
        <w:outlineLvl w:val="0"/>
        <w:rPr>
          <w:rFonts w:ascii="黑体" w:eastAsia="黑体" w:cs="Times New Roman"/>
          <w:sz w:val="24"/>
        </w:rPr>
      </w:pPr>
    </w:p>
    <w:p w14:paraId="1769B25C" w14:textId="77777777" w:rsidR="00B528E4" w:rsidRPr="00A43D0D" w:rsidRDefault="00B528E4" w:rsidP="00B528E4">
      <w:pPr>
        <w:rPr>
          <w:rFonts w:ascii="黑体" w:eastAsia="黑体" w:cs="黑体"/>
        </w:rPr>
      </w:pPr>
      <w:r w:rsidRPr="00A43D0D">
        <w:rPr>
          <w:rFonts w:ascii="黑体" w:eastAsia="黑体" w:cs="黑体" w:hint="eastAsia"/>
        </w:rPr>
        <w:t>主要信息源自乘联会每日新闻等</w:t>
      </w:r>
    </w:p>
    <w:p w14:paraId="4CEC3D3A" w14:textId="77777777" w:rsidR="00B528E4" w:rsidRPr="00A43D0D" w:rsidRDefault="00B528E4" w:rsidP="00B528E4">
      <w:pPr>
        <w:rPr>
          <w:rFonts w:ascii="黑体" w:eastAsia="黑体" w:cs="黑体"/>
        </w:rPr>
      </w:pPr>
      <w:r w:rsidRPr="00A43D0D">
        <w:rPr>
          <w:rFonts w:ascii="黑体" w:eastAsia="黑体" w:cs="黑体" w:hint="eastAsia"/>
        </w:rPr>
        <w:t>中国汽车流通协会汽车市场研究分会</w:t>
      </w:r>
    </w:p>
    <w:p w14:paraId="1DF5B0B1" w14:textId="77777777" w:rsidR="00B528E4" w:rsidRPr="00A43D0D" w:rsidRDefault="00B528E4" w:rsidP="00B528E4">
      <w:pPr>
        <w:rPr>
          <w:rFonts w:ascii="黑体" w:eastAsia="黑体" w:cs="黑体"/>
        </w:rPr>
      </w:pPr>
      <w:r w:rsidRPr="00A43D0D">
        <w:rPr>
          <w:rFonts w:ascii="黑体" w:eastAsia="黑体" w:cs="黑体" w:hint="eastAsia"/>
        </w:rPr>
        <w:t>乘用车市场信息联席会（乘联会）</w:t>
      </w:r>
    </w:p>
    <w:p w14:paraId="758828E0" w14:textId="00806ACF" w:rsidR="00B528E4" w:rsidRDefault="00B528E4" w:rsidP="00B528E4">
      <w:pPr>
        <w:rPr>
          <w:rFonts w:ascii="黑体" w:eastAsia="黑体" w:cs="黑体"/>
        </w:rPr>
      </w:pPr>
      <w:r w:rsidRPr="00A43D0D">
        <w:rPr>
          <w:rFonts w:ascii="黑体" w:eastAsia="黑体" w:cs="黑体" w:hint="eastAsia"/>
        </w:rPr>
        <w:t>网站：</w:t>
      </w:r>
      <w:hyperlink r:id="rId7" w:history="1">
        <w:r w:rsidR="006F7C38" w:rsidRPr="00BD4899">
          <w:rPr>
            <w:rStyle w:val="af0"/>
            <w:rFonts w:ascii="黑体" w:eastAsia="黑体" w:cs="黑体"/>
          </w:rPr>
          <w:t>http://www.cpcaauto.com</w:t>
        </w:r>
      </w:hyperlink>
    </w:p>
    <w:p w14:paraId="37685CD4" w14:textId="77777777" w:rsidR="006F7C38" w:rsidRPr="006F7C38" w:rsidRDefault="006F7C38" w:rsidP="00B528E4">
      <w:pPr>
        <w:rPr>
          <w:rFonts w:cs="Times New Roman"/>
        </w:rPr>
      </w:pPr>
    </w:p>
    <w:p w14:paraId="03950A85" w14:textId="77777777" w:rsidR="00B528E4" w:rsidRPr="002009FE" w:rsidRDefault="00B528E4" w:rsidP="00B528E4">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2C38338C" w14:textId="031DA705" w:rsidR="009C0EB7" w:rsidRDefault="0063271B" w:rsidP="006F7C38">
      <w:pPr>
        <w:ind w:firstLineChars="200" w:firstLine="420"/>
        <w:rPr>
          <w:rFonts w:ascii="Calibri" w:eastAsia="宋体" w:hAnsi="Calibri" w:cs="Times New Roman"/>
          <w:szCs w:val="21"/>
        </w:rPr>
      </w:pPr>
      <w:r w:rsidRPr="0063271B">
        <w:rPr>
          <w:rFonts w:ascii="Calibri" w:eastAsia="宋体" w:hAnsi="Calibri" w:cs="Times New Roman"/>
          <w:szCs w:val="21"/>
        </w:rPr>
        <w:t>11</w:t>
      </w:r>
      <w:r w:rsidRPr="0063271B">
        <w:rPr>
          <w:rFonts w:ascii="Calibri" w:eastAsia="宋体" w:hAnsi="Calibri" w:cs="Times New Roman"/>
          <w:szCs w:val="21"/>
        </w:rPr>
        <w:t>月</w:t>
      </w:r>
      <w:r w:rsidRPr="0063271B">
        <w:rPr>
          <w:rFonts w:ascii="Calibri" w:eastAsia="宋体" w:hAnsi="Calibri" w:cs="Times New Roman"/>
          <w:szCs w:val="21"/>
        </w:rPr>
        <w:t>15-21</w:t>
      </w:r>
      <w:r w:rsidRPr="0063271B">
        <w:rPr>
          <w:rFonts w:ascii="Calibri" w:eastAsia="宋体" w:hAnsi="Calibri" w:cs="Times New Roman"/>
          <w:szCs w:val="21"/>
        </w:rPr>
        <w:t>日，乘用车批发</w:t>
      </w:r>
      <w:r w:rsidRPr="0063271B">
        <w:rPr>
          <w:rFonts w:ascii="Calibri" w:eastAsia="宋体" w:hAnsi="Calibri" w:cs="Times New Roman"/>
          <w:szCs w:val="21"/>
        </w:rPr>
        <w:t>44.1</w:t>
      </w:r>
      <w:r w:rsidRPr="0063271B">
        <w:rPr>
          <w:rFonts w:ascii="Calibri" w:eastAsia="宋体" w:hAnsi="Calibri" w:cs="Times New Roman"/>
          <w:szCs w:val="21"/>
        </w:rPr>
        <w:t>万辆，同比增速</w:t>
      </w:r>
      <w:r w:rsidRPr="0063271B">
        <w:rPr>
          <w:rFonts w:ascii="Calibri" w:eastAsia="宋体" w:hAnsi="Calibri" w:cs="Times New Roman"/>
          <w:szCs w:val="21"/>
        </w:rPr>
        <w:t>-10%</w:t>
      </w:r>
      <w:r w:rsidRPr="0063271B">
        <w:rPr>
          <w:rFonts w:ascii="Calibri" w:eastAsia="宋体" w:hAnsi="Calibri" w:cs="Times New Roman"/>
          <w:szCs w:val="21"/>
        </w:rPr>
        <w:t>，环比上周增长</w:t>
      </w:r>
      <w:r w:rsidRPr="0063271B">
        <w:rPr>
          <w:rFonts w:ascii="Calibri" w:eastAsia="宋体" w:hAnsi="Calibri" w:cs="Times New Roman"/>
          <w:szCs w:val="21"/>
        </w:rPr>
        <w:t>23%</w:t>
      </w:r>
      <w:r w:rsidRPr="0063271B">
        <w:rPr>
          <w:rFonts w:ascii="Calibri" w:eastAsia="宋体" w:hAnsi="Calibri" w:cs="Times New Roman"/>
          <w:szCs w:val="21"/>
        </w:rPr>
        <w:t>，较上月同期增速</w:t>
      </w:r>
      <w:r w:rsidRPr="0063271B">
        <w:rPr>
          <w:rFonts w:ascii="Calibri" w:eastAsia="宋体" w:hAnsi="Calibri" w:cs="Times New Roman"/>
          <w:szCs w:val="21"/>
        </w:rPr>
        <w:t>14%</w:t>
      </w:r>
      <w:r w:rsidRPr="0063271B">
        <w:rPr>
          <w:rFonts w:ascii="Calibri" w:eastAsia="宋体" w:hAnsi="Calibri" w:cs="Times New Roman"/>
          <w:szCs w:val="21"/>
        </w:rPr>
        <w:t>。零售</w:t>
      </w:r>
      <w:r w:rsidRPr="0063271B">
        <w:rPr>
          <w:rFonts w:ascii="Calibri" w:eastAsia="宋体" w:hAnsi="Calibri" w:cs="Times New Roman"/>
          <w:szCs w:val="21"/>
        </w:rPr>
        <w:t>34.5</w:t>
      </w:r>
      <w:r w:rsidRPr="0063271B">
        <w:rPr>
          <w:rFonts w:ascii="Calibri" w:eastAsia="宋体" w:hAnsi="Calibri" w:cs="Times New Roman"/>
          <w:szCs w:val="21"/>
        </w:rPr>
        <w:t>万辆，同比增速</w:t>
      </w:r>
      <w:r w:rsidRPr="0063271B">
        <w:rPr>
          <w:rFonts w:ascii="Calibri" w:eastAsia="宋体" w:hAnsi="Calibri" w:cs="Times New Roman"/>
          <w:szCs w:val="21"/>
        </w:rPr>
        <w:t>-12%</w:t>
      </w:r>
      <w:r w:rsidRPr="0063271B">
        <w:rPr>
          <w:rFonts w:ascii="Calibri" w:eastAsia="宋体" w:hAnsi="Calibri" w:cs="Times New Roman"/>
          <w:szCs w:val="21"/>
        </w:rPr>
        <w:t>，环比上周增长</w:t>
      </w:r>
      <w:r w:rsidRPr="0063271B">
        <w:rPr>
          <w:rFonts w:ascii="Calibri" w:eastAsia="宋体" w:hAnsi="Calibri" w:cs="Times New Roman"/>
          <w:szCs w:val="21"/>
        </w:rPr>
        <w:t>6%</w:t>
      </w:r>
      <w:r w:rsidRPr="0063271B">
        <w:rPr>
          <w:rFonts w:ascii="Calibri" w:eastAsia="宋体" w:hAnsi="Calibri" w:cs="Times New Roman"/>
          <w:szCs w:val="21"/>
        </w:rPr>
        <w:t>，较上月同期增速</w:t>
      </w:r>
      <w:r w:rsidRPr="0063271B">
        <w:rPr>
          <w:rFonts w:ascii="Calibri" w:eastAsia="宋体" w:hAnsi="Calibri" w:cs="Times New Roman"/>
          <w:szCs w:val="21"/>
        </w:rPr>
        <w:t>-6%</w:t>
      </w:r>
      <w:r w:rsidRPr="0063271B">
        <w:rPr>
          <w:rFonts w:ascii="Calibri" w:eastAsia="宋体" w:hAnsi="Calibri" w:cs="Times New Roman"/>
          <w:szCs w:val="21"/>
        </w:rPr>
        <w:t>。</w:t>
      </w:r>
    </w:p>
    <w:p w14:paraId="2F2E9744" w14:textId="77777777" w:rsidR="006F7C38" w:rsidRPr="007C206F" w:rsidRDefault="006F7C38" w:rsidP="009C0EB7">
      <w:pPr>
        <w:rPr>
          <w:rFonts w:ascii="Calibri" w:eastAsia="宋体" w:hAnsi="Calibri" w:cs="Times New Roman"/>
          <w:szCs w:val="21"/>
        </w:rPr>
      </w:pPr>
    </w:p>
    <w:p w14:paraId="3E2C79A6" w14:textId="06019B33" w:rsidR="009C0EB7" w:rsidRPr="00F60D2B" w:rsidRDefault="006F7C38" w:rsidP="009C0EB7">
      <w:pPr>
        <w:numPr>
          <w:ilvl w:val="0"/>
          <w:numId w:val="2"/>
        </w:numPr>
        <w:outlineLvl w:val="1"/>
        <w:rPr>
          <w:rFonts w:ascii="黑体" w:eastAsia="黑体" w:hAnsi="黑体" w:cs="Times New Roman"/>
          <w:b/>
          <w:bCs/>
          <w:sz w:val="24"/>
        </w:rPr>
      </w:pPr>
      <w:bookmarkStart w:id="1" w:name="_Hlk88012666"/>
      <w:r w:rsidRPr="006F7C38">
        <w:rPr>
          <w:rFonts w:ascii="黑体" w:eastAsia="黑体" w:hAnsi="黑体" w:cs="Times New Roman"/>
          <w:b/>
          <w:bCs/>
          <w:sz w:val="24"/>
        </w:rPr>
        <w:t>11月乘用车市场周度零售走势</w:t>
      </w:r>
      <w:bookmarkEnd w:id="1"/>
    </w:p>
    <w:p w14:paraId="43DCFA24" w14:textId="1AA0A754" w:rsidR="00F60D2B" w:rsidRPr="007C206F" w:rsidRDefault="00F60D2B" w:rsidP="00F60D2B">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03FFF69" wp14:editId="2D98DCC2">
            <wp:extent cx="4320000" cy="3154443"/>
            <wp:effectExtent l="0" t="0" r="444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a:extLst>
                        <a:ext uri="{28A0092B-C50C-407E-A947-70E740481C1C}">
                          <a14:useLocalDpi xmlns:a14="http://schemas.microsoft.com/office/drawing/2010/main" val="0"/>
                        </a:ext>
                      </a:extLst>
                    </a:blip>
                    <a:stretch>
                      <a:fillRect/>
                    </a:stretch>
                  </pic:blipFill>
                  <pic:spPr>
                    <a:xfrm>
                      <a:off x="0" y="0"/>
                      <a:ext cx="4320000" cy="3154443"/>
                    </a:xfrm>
                    <a:prstGeom prst="rect">
                      <a:avLst/>
                    </a:prstGeom>
                  </pic:spPr>
                </pic:pic>
              </a:graphicData>
            </a:graphic>
          </wp:inline>
        </w:drawing>
      </w:r>
    </w:p>
    <w:p w14:paraId="3BBFE6FC" w14:textId="77777777" w:rsidR="00926EB3" w:rsidRDefault="009C0EB7" w:rsidP="00926EB3">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926EB3">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3.9</w:t>
      </w:r>
      <w:r w:rsidR="00926EB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月的第</w:t>
      </w:r>
      <w:r w:rsidR="00926EB3">
        <w:rPr>
          <w:rFonts w:ascii="Calibri" w:eastAsia="宋体" w:hAnsi="Calibri" w:cs="Times New Roman" w:hint="eastAsia"/>
          <w:szCs w:val="21"/>
        </w:rPr>
        <w:t>一</w:t>
      </w:r>
      <w:r>
        <w:rPr>
          <w:rFonts w:ascii="Calibri" w:eastAsia="宋体" w:hAnsi="Calibri" w:cs="Times New Roman" w:hint="eastAsia"/>
          <w:szCs w:val="21"/>
        </w:rPr>
        <w:t>周降</w:t>
      </w:r>
      <w:r>
        <w:rPr>
          <w:rFonts w:ascii="Calibri" w:eastAsia="宋体" w:hAnsi="Calibri" w:cs="Times New Roman" w:hint="eastAsia"/>
          <w:szCs w:val="21"/>
        </w:rPr>
        <w:t>6%</w:t>
      </w:r>
      <w:r>
        <w:rPr>
          <w:rFonts w:ascii="Calibri" w:eastAsia="宋体" w:hAnsi="Calibri" w:cs="Times New Roman" w:hint="eastAsia"/>
          <w:szCs w:val="21"/>
        </w:rPr>
        <w:t>。</w:t>
      </w:r>
    </w:p>
    <w:p w14:paraId="41ED9977" w14:textId="77777777" w:rsidR="00926EB3" w:rsidRDefault="009C0EB7" w:rsidP="00926EB3">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926EB3">
        <w:rPr>
          <w:rFonts w:ascii="Calibri" w:eastAsia="宋体" w:hAnsi="Calibri" w:cs="Times New Roman" w:hint="eastAsia"/>
          <w:szCs w:val="21"/>
        </w:rPr>
        <w:t>二</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4.6</w:t>
      </w:r>
      <w:r w:rsidR="00926EB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月的第</w:t>
      </w:r>
      <w:r w:rsidR="00926EB3">
        <w:rPr>
          <w:rFonts w:ascii="Calibri" w:eastAsia="宋体" w:hAnsi="Calibri" w:cs="Times New Roman" w:hint="eastAsia"/>
          <w:szCs w:val="21"/>
        </w:rPr>
        <w:t>二</w:t>
      </w:r>
      <w:r>
        <w:rPr>
          <w:rFonts w:ascii="Calibri" w:eastAsia="宋体" w:hAnsi="Calibri" w:cs="Times New Roman" w:hint="eastAsia"/>
          <w:szCs w:val="21"/>
        </w:rPr>
        <w:t>周</w:t>
      </w:r>
      <w:r w:rsidR="00FC491E">
        <w:rPr>
          <w:rFonts w:ascii="Calibri" w:eastAsia="宋体" w:hAnsi="Calibri" w:cs="Times New Roman" w:hint="eastAsia"/>
          <w:szCs w:val="21"/>
        </w:rPr>
        <w:t>持平</w:t>
      </w:r>
      <w:r>
        <w:rPr>
          <w:rFonts w:ascii="Calibri" w:eastAsia="宋体" w:hAnsi="Calibri" w:cs="Times New Roman" w:hint="eastAsia"/>
          <w:szCs w:val="21"/>
        </w:rPr>
        <w:t>。</w:t>
      </w:r>
    </w:p>
    <w:p w14:paraId="5D402FC6" w14:textId="77777777" w:rsidR="0008140A" w:rsidRDefault="009C0EB7" w:rsidP="0008140A">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926EB3">
        <w:rPr>
          <w:rFonts w:ascii="Calibri" w:eastAsia="宋体" w:hAnsi="Calibri" w:cs="Times New Roman" w:hint="eastAsia"/>
          <w:szCs w:val="21"/>
        </w:rPr>
        <w:t>三</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FC491E">
        <w:rPr>
          <w:rFonts w:ascii="Calibri" w:eastAsia="宋体" w:hAnsi="Calibri" w:cs="Times New Roman"/>
          <w:szCs w:val="21"/>
        </w:rPr>
        <w:t>9</w:t>
      </w:r>
      <w:r w:rsidR="00926EB3">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FC491E">
        <w:rPr>
          <w:rFonts w:ascii="Calibri" w:eastAsia="宋体" w:hAnsi="Calibri" w:cs="Times New Roman"/>
          <w:szCs w:val="21"/>
        </w:rPr>
        <w:t>12</w:t>
      </w:r>
      <w:r w:rsidRPr="002A7C74">
        <w:rPr>
          <w:rFonts w:ascii="Calibri" w:eastAsia="宋体" w:hAnsi="Calibri" w:cs="Times New Roman"/>
          <w:szCs w:val="21"/>
        </w:rPr>
        <w:t>%</w:t>
      </w:r>
      <w:r w:rsidRPr="002A7C74">
        <w:rPr>
          <w:rFonts w:ascii="Calibri" w:eastAsia="宋体" w:hAnsi="Calibri" w:cs="Times New Roman"/>
          <w:szCs w:val="21"/>
        </w:rPr>
        <w:t>，表现相对</w:t>
      </w:r>
      <w:r w:rsidR="00FC491E">
        <w:rPr>
          <w:rFonts w:ascii="Calibri" w:eastAsia="宋体" w:hAnsi="Calibri" w:cs="Times New Roman" w:hint="eastAsia"/>
          <w:szCs w:val="21"/>
        </w:rPr>
        <w:t>改善</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月的第</w:t>
      </w:r>
      <w:r w:rsidR="0008140A">
        <w:rPr>
          <w:rFonts w:ascii="Calibri" w:eastAsia="宋体" w:hAnsi="Calibri" w:cs="Times New Roman" w:hint="eastAsia"/>
          <w:szCs w:val="21"/>
        </w:rPr>
        <w:t>三</w:t>
      </w:r>
      <w:r>
        <w:rPr>
          <w:rFonts w:ascii="Calibri" w:eastAsia="宋体" w:hAnsi="Calibri" w:cs="Times New Roman" w:hint="eastAsia"/>
          <w:szCs w:val="21"/>
        </w:rPr>
        <w:t>周降</w:t>
      </w:r>
      <w:r w:rsidR="00FC491E">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1D9771AE" w14:textId="77777777" w:rsidR="0008140A" w:rsidRDefault="009C0EB7" w:rsidP="0008140A">
      <w:pPr>
        <w:ind w:firstLineChars="200" w:firstLine="420"/>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月的生产改善明显，</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月的零售回升应该较明显，但目前的回升速度还是不快，与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年的状态相近，也是较好的表现。</w:t>
      </w:r>
    </w:p>
    <w:p w14:paraId="75D9D90B" w14:textId="77777777" w:rsidR="0008140A" w:rsidRDefault="005C5BD6" w:rsidP="0008140A">
      <w:pPr>
        <w:ind w:firstLineChars="200" w:firstLine="420"/>
        <w:rPr>
          <w:rFonts w:ascii="Calibri" w:eastAsia="宋体" w:hAnsi="Calibri" w:cs="Times New Roman"/>
          <w:szCs w:val="21"/>
        </w:rPr>
      </w:pPr>
      <w:r w:rsidRPr="00EA653D">
        <w:rPr>
          <w:rFonts w:ascii="Calibri" w:eastAsia="宋体" w:hAnsi="Calibri" w:cs="Times New Roman" w:hint="eastAsia"/>
          <w:szCs w:val="21"/>
        </w:rPr>
        <w:t>去年下半年高基数，促销力度大</w:t>
      </w:r>
      <w:r>
        <w:rPr>
          <w:rFonts w:ascii="Calibri" w:eastAsia="宋体" w:hAnsi="Calibri" w:cs="Times New Roman" w:hint="eastAsia"/>
          <w:szCs w:val="21"/>
        </w:rPr>
        <w:t>。今年</w:t>
      </w:r>
      <w:r w:rsidR="0008140A">
        <w:rPr>
          <w:rFonts w:ascii="Calibri" w:eastAsia="宋体" w:hAnsi="Calibri" w:cs="Times New Roman" w:hint="eastAsia"/>
          <w:szCs w:val="21"/>
        </w:rPr>
        <w:t>“双</w:t>
      </w:r>
      <w:r w:rsidR="0008140A">
        <w:rPr>
          <w:rFonts w:ascii="Calibri" w:eastAsia="宋体" w:hAnsi="Calibri" w:cs="Times New Roman" w:hint="eastAsia"/>
          <w:szCs w:val="21"/>
        </w:rPr>
        <w:t>1</w:t>
      </w:r>
      <w:r w:rsidR="0008140A">
        <w:rPr>
          <w:rFonts w:ascii="Calibri" w:eastAsia="宋体" w:hAnsi="Calibri" w:cs="Times New Roman"/>
          <w:szCs w:val="21"/>
        </w:rPr>
        <w:t>1</w:t>
      </w:r>
      <w:r w:rsidR="0008140A">
        <w:rPr>
          <w:rFonts w:ascii="Calibri" w:eastAsia="宋体" w:hAnsi="Calibri" w:cs="Times New Roman" w:hint="eastAsia"/>
          <w:szCs w:val="21"/>
        </w:rPr>
        <w:t>”</w:t>
      </w:r>
      <w:r>
        <w:rPr>
          <w:rFonts w:ascii="Calibri" w:eastAsia="宋体" w:hAnsi="Calibri" w:cs="Times New Roman" w:hint="eastAsia"/>
          <w:szCs w:val="21"/>
        </w:rPr>
        <w:t>的</w:t>
      </w:r>
      <w:r w:rsidR="00510CBD">
        <w:rPr>
          <w:rFonts w:ascii="Calibri" w:eastAsia="宋体" w:hAnsi="Calibri" w:cs="Times New Roman" w:hint="eastAsia"/>
          <w:szCs w:val="21"/>
        </w:rPr>
        <w:t>车市</w:t>
      </w:r>
      <w:r>
        <w:rPr>
          <w:rFonts w:ascii="Calibri" w:eastAsia="宋体" w:hAnsi="Calibri" w:cs="Times New Roman" w:hint="eastAsia"/>
          <w:szCs w:val="21"/>
        </w:rPr>
        <w:t>增量效果相对一般，第三周走势仍未明显提升。</w:t>
      </w:r>
      <w:r w:rsidR="00510CBD">
        <w:rPr>
          <w:rFonts w:ascii="Calibri" w:eastAsia="宋体" w:hAnsi="Calibri" w:cs="Times New Roman" w:hint="eastAsia"/>
          <w:szCs w:val="21"/>
        </w:rPr>
        <w:t>近期</w:t>
      </w:r>
      <w:r w:rsidR="009C0EB7" w:rsidRPr="00946C81">
        <w:rPr>
          <w:rFonts w:ascii="Calibri" w:eastAsia="宋体" w:hAnsi="Calibri" w:cs="Times New Roman" w:hint="eastAsia"/>
          <w:szCs w:val="21"/>
        </w:rPr>
        <w:t>散</w:t>
      </w:r>
      <w:r w:rsidR="0008140A">
        <w:rPr>
          <w:rFonts w:ascii="Calibri" w:eastAsia="宋体" w:hAnsi="Calibri" w:cs="Times New Roman" w:hint="eastAsia"/>
          <w:szCs w:val="21"/>
        </w:rPr>
        <w:t>发</w:t>
      </w:r>
      <w:r w:rsidR="009C0EB7" w:rsidRPr="00946C81">
        <w:rPr>
          <w:rFonts w:ascii="Calibri" w:eastAsia="宋体" w:hAnsi="Calibri" w:cs="Times New Roman" w:hint="eastAsia"/>
          <w:szCs w:val="21"/>
        </w:rPr>
        <w:t>式的疫情容易打乱当地市民的生产生活节奏，保持两点一线出行路径，除了利好网络电商、社区团购等无接触行业</w:t>
      </w:r>
      <w:r w:rsidR="009C0EB7">
        <w:rPr>
          <w:rFonts w:ascii="Calibri" w:eastAsia="宋体" w:hAnsi="Calibri" w:cs="Times New Roman" w:hint="eastAsia"/>
          <w:szCs w:val="21"/>
        </w:rPr>
        <w:t>。目前</w:t>
      </w:r>
      <w:r w:rsidR="009C0EB7" w:rsidRPr="00EA653D">
        <w:rPr>
          <w:rFonts w:ascii="Calibri" w:eastAsia="宋体" w:hAnsi="Calibri" w:cs="Times New Roman" w:hint="eastAsia"/>
          <w:szCs w:val="21"/>
        </w:rPr>
        <w:t>各地的管控加严、信贷政策的收紧、恶劣天气的增加均造成购车延后</w:t>
      </w:r>
      <w:r w:rsidR="009C0EB7">
        <w:rPr>
          <w:rFonts w:ascii="Calibri" w:eastAsia="宋体" w:hAnsi="Calibri" w:cs="Times New Roman" w:hint="eastAsia"/>
          <w:szCs w:val="21"/>
        </w:rPr>
        <w:t>。</w:t>
      </w:r>
    </w:p>
    <w:p w14:paraId="0E894476" w14:textId="5E9ED89E" w:rsidR="009C0EB7" w:rsidRPr="00EA653D" w:rsidRDefault="000B3DFD" w:rsidP="0008140A">
      <w:pPr>
        <w:ind w:firstLineChars="200" w:firstLine="420"/>
        <w:rPr>
          <w:rFonts w:ascii="Calibri" w:eastAsia="宋体" w:hAnsi="Calibri" w:cs="Times New Roman"/>
          <w:szCs w:val="21"/>
        </w:rPr>
      </w:pPr>
      <w:r w:rsidRPr="00EA653D">
        <w:rPr>
          <w:rFonts w:ascii="Calibri" w:eastAsia="宋体" w:hAnsi="Calibri" w:cs="Times New Roman" w:hint="eastAsia"/>
          <w:szCs w:val="21"/>
        </w:rPr>
        <w:t>今年终端低库存，厂商促销收紧</w:t>
      </w:r>
      <w:r w:rsidR="0008140A">
        <w:rPr>
          <w:rFonts w:ascii="Calibri" w:eastAsia="宋体" w:hAnsi="Calibri" w:cs="Times New Roman" w:hint="eastAsia"/>
          <w:szCs w:val="21"/>
        </w:rPr>
        <w:t>，</w:t>
      </w:r>
      <w:r w:rsidRPr="003A0308">
        <w:rPr>
          <w:rFonts w:ascii="Calibri" w:eastAsia="宋体" w:hAnsi="Calibri" w:cs="Times New Roman" w:hint="eastAsia"/>
          <w:szCs w:val="21"/>
        </w:rPr>
        <w:t>需求端不能完全释放</w:t>
      </w:r>
      <w:r>
        <w:rPr>
          <w:rFonts w:ascii="Calibri" w:eastAsia="宋体" w:hAnsi="Calibri" w:cs="Times New Roman" w:hint="eastAsia"/>
          <w:szCs w:val="21"/>
        </w:rPr>
        <w:t>。</w:t>
      </w:r>
      <w:r w:rsidR="00510CBD">
        <w:rPr>
          <w:rFonts w:ascii="Calibri" w:eastAsia="宋体" w:hAnsi="Calibri" w:cs="Times New Roman" w:hint="eastAsia"/>
          <w:szCs w:val="21"/>
        </w:rPr>
        <w:t>虽然</w:t>
      </w:r>
      <w:r w:rsidR="009C0EB7" w:rsidRPr="00EA653D">
        <w:rPr>
          <w:rFonts w:ascii="Calibri" w:eastAsia="宋体" w:hAnsi="Calibri" w:cs="Times New Roman" w:hint="eastAsia"/>
          <w:szCs w:val="21"/>
        </w:rPr>
        <w:t>芯片问题导致家用为主的</w:t>
      </w:r>
      <w:r>
        <w:rPr>
          <w:rFonts w:ascii="Calibri" w:eastAsia="宋体" w:hAnsi="Calibri" w:cs="Times New Roman" w:hint="eastAsia"/>
          <w:szCs w:val="21"/>
        </w:rPr>
        <w:t>传统</w:t>
      </w:r>
      <w:r w:rsidR="009C0EB7" w:rsidRPr="00EA653D">
        <w:rPr>
          <w:rFonts w:ascii="Calibri" w:eastAsia="宋体" w:hAnsi="Calibri" w:cs="Times New Roman"/>
          <w:szCs w:val="21"/>
        </w:rPr>
        <w:t>A</w:t>
      </w:r>
      <w:r w:rsidR="009C0EB7" w:rsidRPr="00EA653D">
        <w:rPr>
          <w:rFonts w:ascii="Calibri" w:eastAsia="宋体" w:hAnsi="Calibri" w:cs="Times New Roman"/>
          <w:szCs w:val="21"/>
        </w:rPr>
        <w:t>级车市场普遍库存不足，影响</w:t>
      </w:r>
      <w:r w:rsidR="009C0EB7">
        <w:rPr>
          <w:rFonts w:ascii="Calibri" w:eastAsia="宋体" w:hAnsi="Calibri" w:cs="Times New Roman" w:hint="eastAsia"/>
          <w:szCs w:val="21"/>
        </w:rPr>
        <w:t>零售</w:t>
      </w:r>
      <w:r>
        <w:rPr>
          <w:rFonts w:ascii="Calibri" w:eastAsia="宋体" w:hAnsi="Calibri" w:cs="Times New Roman" w:hint="eastAsia"/>
          <w:szCs w:val="21"/>
        </w:rPr>
        <w:t>增速，未来</w:t>
      </w:r>
      <w:r w:rsidR="009C0EB7" w:rsidRPr="00EA653D">
        <w:rPr>
          <w:rFonts w:ascii="Calibri" w:eastAsia="宋体" w:hAnsi="Calibri" w:cs="Times New Roman"/>
          <w:szCs w:val="21"/>
        </w:rPr>
        <w:t>情况</w:t>
      </w:r>
      <w:r w:rsidR="00510CBD">
        <w:rPr>
          <w:rFonts w:ascii="Calibri" w:eastAsia="宋体" w:hAnsi="Calibri" w:cs="Times New Roman" w:hint="eastAsia"/>
          <w:szCs w:val="21"/>
        </w:rPr>
        <w:t>将会逐步的改善</w:t>
      </w:r>
      <w:r w:rsidR="009C0EB7">
        <w:rPr>
          <w:rFonts w:ascii="Calibri" w:eastAsia="宋体" w:hAnsi="Calibri" w:cs="Times New Roman" w:hint="eastAsia"/>
          <w:szCs w:val="21"/>
        </w:rPr>
        <w:t>。</w:t>
      </w:r>
      <w:r w:rsidR="009C0EB7" w:rsidRPr="00EA653D">
        <w:rPr>
          <w:rFonts w:ascii="Calibri" w:eastAsia="宋体" w:hAnsi="Calibri" w:cs="Times New Roman"/>
          <w:szCs w:val="21"/>
        </w:rPr>
        <w:t xml:space="preserve"> </w:t>
      </w:r>
    </w:p>
    <w:p w14:paraId="431413DF" w14:textId="253AC34A" w:rsidR="009C0EB7" w:rsidRPr="000B3DFD" w:rsidRDefault="000B3DFD" w:rsidP="001B15C5">
      <w:pPr>
        <w:ind w:firstLineChars="135" w:firstLine="283"/>
        <w:rPr>
          <w:rFonts w:ascii="Calibri" w:eastAsia="宋体" w:hAnsi="Calibri" w:cs="Times New Roman"/>
          <w:szCs w:val="21"/>
        </w:rPr>
      </w:pPr>
      <w:r>
        <w:rPr>
          <w:rFonts w:ascii="Calibri" w:eastAsia="宋体" w:hAnsi="Calibri" w:cs="Times New Roman" w:hint="eastAsia"/>
          <w:szCs w:val="21"/>
        </w:rPr>
        <w:t>由于疫情的防控需要加之冰雪天气的出现，购车代步出行的刚需效果更为突出，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w:t>
      </w:r>
      <w:r w:rsidR="001B15C5">
        <w:rPr>
          <w:rFonts w:ascii="Calibri" w:eastAsia="宋体" w:hAnsi="Calibri" w:cs="Times New Roman" w:hint="eastAsia"/>
          <w:szCs w:val="21"/>
        </w:rPr>
        <w:t>提</w:t>
      </w:r>
      <w:r w:rsidRPr="00964CBA">
        <w:rPr>
          <w:rFonts w:ascii="Calibri" w:eastAsia="宋体" w:hAnsi="Calibri" w:cs="Times New Roman" w:hint="eastAsia"/>
          <w:szCs w:val="21"/>
        </w:rPr>
        <w:t>升</w:t>
      </w:r>
      <w:r>
        <w:rPr>
          <w:rFonts w:ascii="Calibri" w:eastAsia="宋体" w:hAnsi="Calibri" w:cs="Times New Roman" w:hint="eastAsia"/>
          <w:szCs w:val="21"/>
        </w:rPr>
        <w:t>，电动车</w:t>
      </w:r>
      <w:r w:rsidR="001B15C5">
        <w:rPr>
          <w:rFonts w:ascii="Calibri" w:eastAsia="宋体" w:hAnsi="Calibri" w:cs="Times New Roman" w:hint="eastAsia"/>
          <w:szCs w:val="21"/>
        </w:rPr>
        <w:t>市场</w:t>
      </w:r>
      <w:r>
        <w:rPr>
          <w:rFonts w:ascii="Calibri" w:eastAsia="宋体" w:hAnsi="Calibri" w:cs="Times New Roman" w:hint="eastAsia"/>
          <w:szCs w:val="21"/>
        </w:rPr>
        <w:t>表现较好</w:t>
      </w:r>
      <w:r w:rsidRPr="00964CBA">
        <w:rPr>
          <w:rFonts w:ascii="Calibri" w:eastAsia="宋体" w:hAnsi="Calibri" w:cs="Times New Roman" w:hint="eastAsia"/>
          <w:szCs w:val="21"/>
        </w:rPr>
        <w:t>。</w:t>
      </w:r>
    </w:p>
    <w:p w14:paraId="01AD6994" w14:textId="5A2F50AC" w:rsidR="009C0EB7" w:rsidRPr="0033160A" w:rsidRDefault="006D094D" w:rsidP="009C0EB7">
      <w:pPr>
        <w:numPr>
          <w:ilvl w:val="0"/>
          <w:numId w:val="2"/>
        </w:numPr>
        <w:outlineLvl w:val="1"/>
        <w:rPr>
          <w:rFonts w:ascii="黑体" w:eastAsia="黑体" w:hAnsi="黑体" w:cs="Times New Roman"/>
          <w:b/>
          <w:bCs/>
          <w:sz w:val="24"/>
        </w:rPr>
      </w:pPr>
      <w:r w:rsidRPr="006D094D">
        <w:rPr>
          <w:rFonts w:ascii="黑体" w:eastAsia="黑体" w:hAnsi="黑体" w:cs="Times New Roman"/>
          <w:b/>
          <w:bCs/>
          <w:sz w:val="24"/>
        </w:rPr>
        <w:lastRenderedPageBreak/>
        <w:t>11月乘用车市场周度批发走势</w:t>
      </w:r>
    </w:p>
    <w:p w14:paraId="2E43761D" w14:textId="28018E61" w:rsidR="0033160A" w:rsidRDefault="0033160A" w:rsidP="0033160A">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5EBFD8B5" wp14:editId="627E4556">
            <wp:extent cx="4320000" cy="3150802"/>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150802"/>
                    </a:xfrm>
                    <a:prstGeom prst="rect">
                      <a:avLst/>
                    </a:prstGeom>
                  </pic:spPr>
                </pic:pic>
              </a:graphicData>
            </a:graphic>
          </wp:inline>
        </w:drawing>
      </w:r>
    </w:p>
    <w:p w14:paraId="54FC315E" w14:textId="3FA955CD" w:rsidR="009C0EB7" w:rsidRDefault="009C0EB7" w:rsidP="0033160A">
      <w:pPr>
        <w:ind w:firstLineChars="200" w:firstLine="420"/>
        <w:rPr>
          <w:rFonts w:ascii="Calibri" w:eastAsia="宋体" w:hAnsi="Calibri" w:cs="Times New Roman"/>
          <w:szCs w:val="21"/>
        </w:rPr>
      </w:pPr>
      <w:r>
        <w:rPr>
          <w:rFonts w:ascii="Calibri" w:eastAsia="宋体" w:hAnsi="Calibri" w:cs="Times New Roman"/>
          <w:szCs w:val="21"/>
        </w:rPr>
        <w:t>11</w:t>
      </w:r>
      <w:r>
        <w:rPr>
          <w:rFonts w:ascii="Calibri" w:eastAsia="宋体" w:hAnsi="Calibri" w:cs="Times New Roman" w:hint="eastAsia"/>
          <w:szCs w:val="21"/>
        </w:rPr>
        <w:t>月第</w:t>
      </w:r>
      <w:r w:rsidR="0033160A">
        <w:rPr>
          <w:rFonts w:ascii="Calibri" w:eastAsia="宋体" w:hAnsi="Calibri" w:cs="Times New Roman" w:hint="eastAsia"/>
          <w:szCs w:val="21"/>
        </w:rPr>
        <w:t>一</w:t>
      </w:r>
      <w:r>
        <w:rPr>
          <w:rFonts w:ascii="Calibri" w:eastAsia="宋体" w:hAnsi="Calibri" w:cs="Times New Roman" w:hint="eastAsia"/>
          <w:szCs w:val="21"/>
        </w:rPr>
        <w:t>周狭义乘用车全口径日均批发</w:t>
      </w:r>
      <w:r w:rsidR="0033160A">
        <w:rPr>
          <w:rFonts w:ascii="Calibri" w:eastAsia="宋体" w:hAnsi="Calibri" w:cs="Times New Roman"/>
          <w:szCs w:val="21"/>
        </w:rPr>
        <w:t>4.0</w:t>
      </w:r>
      <w:r w:rsidR="00926EB3">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10</w:t>
      </w:r>
      <w:r>
        <w:rPr>
          <w:rFonts w:ascii="Calibri" w:eastAsia="宋体" w:hAnsi="Calibri" w:cs="Times New Roman" w:hint="eastAsia"/>
          <w:szCs w:val="21"/>
        </w:rPr>
        <w:t>月第一周的销量增长</w:t>
      </w:r>
      <w:r>
        <w:rPr>
          <w:rFonts w:ascii="Calibri" w:eastAsia="宋体" w:hAnsi="Calibri" w:cs="Times New Roman"/>
          <w:szCs w:val="21"/>
        </w:rPr>
        <w:t>14</w:t>
      </w:r>
      <w:r>
        <w:rPr>
          <w:rFonts w:ascii="Calibri" w:eastAsia="宋体" w:hAnsi="Calibri" w:cs="Times New Roman" w:hint="eastAsia"/>
          <w:szCs w:val="21"/>
        </w:rPr>
        <w:t>%</w:t>
      </w:r>
      <w:r w:rsidR="0033160A">
        <w:rPr>
          <w:rFonts w:ascii="Calibri" w:eastAsia="宋体" w:hAnsi="Calibri" w:cs="Times New Roman" w:hint="eastAsia"/>
          <w:szCs w:val="21"/>
        </w:rPr>
        <w:t>。</w:t>
      </w:r>
    </w:p>
    <w:p w14:paraId="69FEBBA3" w14:textId="57EC9989" w:rsidR="009C0EB7" w:rsidRDefault="009C0EB7" w:rsidP="009C0EB7">
      <w:pPr>
        <w:ind w:firstLineChars="202" w:firstLine="424"/>
        <w:rPr>
          <w:rFonts w:ascii="Calibri" w:eastAsia="宋体" w:hAnsi="Calibri" w:cs="Times New Roman"/>
          <w:szCs w:val="21"/>
        </w:rPr>
      </w:pPr>
      <w:r>
        <w:rPr>
          <w:rFonts w:ascii="Calibri" w:eastAsia="宋体" w:hAnsi="Calibri" w:cs="Times New Roman"/>
          <w:szCs w:val="21"/>
        </w:rPr>
        <w:t>11</w:t>
      </w:r>
      <w:r>
        <w:rPr>
          <w:rFonts w:ascii="Calibri" w:eastAsia="宋体" w:hAnsi="Calibri" w:cs="Times New Roman" w:hint="eastAsia"/>
          <w:szCs w:val="21"/>
        </w:rPr>
        <w:t>月第</w:t>
      </w:r>
      <w:r w:rsidR="003216B5">
        <w:rPr>
          <w:rFonts w:ascii="Calibri" w:eastAsia="宋体" w:hAnsi="Calibri" w:cs="Times New Roman" w:hint="eastAsia"/>
          <w:szCs w:val="21"/>
        </w:rPr>
        <w:t>二</w:t>
      </w:r>
      <w:r>
        <w:rPr>
          <w:rFonts w:ascii="Calibri" w:eastAsia="宋体" w:hAnsi="Calibri" w:cs="Times New Roman" w:hint="eastAsia"/>
          <w:szCs w:val="21"/>
        </w:rPr>
        <w:t>周狭义乘用车全口径日均批发</w:t>
      </w:r>
      <w:r>
        <w:rPr>
          <w:rFonts w:ascii="Calibri" w:eastAsia="宋体" w:hAnsi="Calibri" w:cs="Times New Roman"/>
          <w:szCs w:val="21"/>
        </w:rPr>
        <w:t>5.1</w:t>
      </w:r>
      <w:r w:rsidR="00926EB3">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w:t>
      </w:r>
      <w:r w:rsidR="003216B5">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10</w:t>
      </w:r>
      <w:r>
        <w:rPr>
          <w:rFonts w:ascii="Calibri" w:eastAsia="宋体" w:hAnsi="Calibri" w:cs="Times New Roman" w:hint="eastAsia"/>
          <w:szCs w:val="21"/>
        </w:rPr>
        <w:t>月第</w:t>
      </w:r>
      <w:r w:rsidR="003216B5">
        <w:rPr>
          <w:rFonts w:ascii="Calibri" w:eastAsia="宋体" w:hAnsi="Calibri" w:cs="Times New Roman" w:hint="eastAsia"/>
          <w:szCs w:val="21"/>
        </w:rPr>
        <w:t>二</w:t>
      </w:r>
      <w:r>
        <w:rPr>
          <w:rFonts w:ascii="Calibri" w:eastAsia="宋体" w:hAnsi="Calibri" w:cs="Times New Roman" w:hint="eastAsia"/>
          <w:szCs w:val="21"/>
        </w:rPr>
        <w:t>周的销量增长</w:t>
      </w:r>
      <w:r>
        <w:rPr>
          <w:rFonts w:ascii="Calibri" w:eastAsia="宋体" w:hAnsi="Calibri" w:cs="Times New Roman"/>
          <w:szCs w:val="21"/>
        </w:rPr>
        <w:t>1</w:t>
      </w:r>
      <w:r w:rsidR="005C5BD6">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681098E9" w14:textId="433FF658" w:rsidR="005C5BD6" w:rsidRDefault="005C5BD6" w:rsidP="005C5BD6">
      <w:pPr>
        <w:ind w:firstLineChars="202" w:firstLine="424"/>
        <w:rPr>
          <w:rFonts w:ascii="Calibri" w:eastAsia="宋体" w:hAnsi="Calibri" w:cs="Times New Roman"/>
          <w:szCs w:val="21"/>
        </w:rPr>
      </w:pPr>
      <w:r>
        <w:rPr>
          <w:rFonts w:ascii="Calibri" w:eastAsia="宋体" w:hAnsi="Calibri" w:cs="Times New Roman"/>
          <w:szCs w:val="21"/>
        </w:rPr>
        <w:t>11</w:t>
      </w:r>
      <w:r>
        <w:rPr>
          <w:rFonts w:ascii="Calibri" w:eastAsia="宋体" w:hAnsi="Calibri" w:cs="Times New Roman" w:hint="eastAsia"/>
          <w:szCs w:val="21"/>
        </w:rPr>
        <w:t>月第</w:t>
      </w:r>
      <w:r w:rsidR="003216B5">
        <w:rPr>
          <w:rFonts w:ascii="Calibri" w:eastAsia="宋体" w:hAnsi="Calibri" w:cs="Times New Roman" w:hint="eastAsia"/>
          <w:szCs w:val="21"/>
        </w:rPr>
        <w:t>三</w:t>
      </w:r>
      <w:r>
        <w:rPr>
          <w:rFonts w:ascii="Calibri" w:eastAsia="宋体" w:hAnsi="Calibri" w:cs="Times New Roman" w:hint="eastAsia"/>
          <w:szCs w:val="21"/>
        </w:rPr>
        <w:t>周狭义乘用车全口径日均批发</w:t>
      </w:r>
      <w:r>
        <w:rPr>
          <w:rFonts w:ascii="Calibri" w:eastAsia="宋体" w:hAnsi="Calibri" w:cs="Times New Roman"/>
          <w:szCs w:val="21"/>
        </w:rPr>
        <w:t>6.3</w:t>
      </w:r>
      <w:r w:rsidR="00926EB3">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10</w:t>
      </w:r>
      <w:r>
        <w:rPr>
          <w:rFonts w:ascii="Calibri" w:eastAsia="宋体" w:hAnsi="Calibri" w:cs="Times New Roman" w:hint="eastAsia"/>
          <w:szCs w:val="21"/>
        </w:rPr>
        <w:t>月第</w:t>
      </w:r>
      <w:r w:rsidR="003216B5">
        <w:rPr>
          <w:rFonts w:ascii="Calibri" w:eastAsia="宋体" w:hAnsi="Calibri" w:cs="Times New Roman" w:hint="eastAsia"/>
          <w:szCs w:val="21"/>
        </w:rPr>
        <w:t>三</w:t>
      </w:r>
      <w:r>
        <w:rPr>
          <w:rFonts w:ascii="Calibri" w:eastAsia="宋体" w:hAnsi="Calibri" w:cs="Times New Roman" w:hint="eastAsia"/>
          <w:szCs w:val="21"/>
        </w:rPr>
        <w:t>周的销量增长</w:t>
      </w:r>
      <w:r>
        <w:rPr>
          <w:rFonts w:ascii="Calibri" w:eastAsia="宋体" w:hAnsi="Calibri" w:cs="Times New Roman"/>
          <w:szCs w:val="21"/>
        </w:rPr>
        <w:t>14</w:t>
      </w:r>
      <w:r>
        <w:rPr>
          <w:rFonts w:ascii="Calibri" w:eastAsia="宋体" w:hAnsi="Calibri" w:cs="Times New Roman" w:hint="eastAsia"/>
          <w:szCs w:val="21"/>
        </w:rPr>
        <w:t>%</w:t>
      </w:r>
      <w:r>
        <w:rPr>
          <w:rFonts w:ascii="Calibri" w:eastAsia="宋体" w:hAnsi="Calibri" w:cs="Times New Roman" w:hint="eastAsia"/>
          <w:szCs w:val="21"/>
        </w:rPr>
        <w:t>，走势节奏跟上</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年同期水平。</w:t>
      </w:r>
    </w:p>
    <w:p w14:paraId="6C7149E8" w14:textId="2DC852F3" w:rsidR="009C0EB7" w:rsidRDefault="00A16695" w:rsidP="009C0EB7">
      <w:pPr>
        <w:ind w:firstLineChars="202" w:firstLine="424"/>
        <w:rPr>
          <w:rFonts w:ascii="Calibri" w:eastAsia="宋体" w:hAnsi="Calibri" w:cs="Times New Roman"/>
          <w:szCs w:val="21"/>
        </w:rPr>
      </w:pPr>
      <w:r>
        <w:rPr>
          <w:rFonts w:ascii="Calibri" w:eastAsia="宋体" w:hAnsi="Calibri" w:cs="Times New Roman" w:hint="eastAsia"/>
          <w:szCs w:val="21"/>
        </w:rPr>
        <w:t>近</w:t>
      </w:r>
      <w:r w:rsidR="003216B5">
        <w:rPr>
          <w:rFonts w:ascii="Calibri" w:eastAsia="宋体" w:hAnsi="Calibri" w:cs="Times New Roman" w:hint="eastAsia"/>
          <w:szCs w:val="21"/>
        </w:rPr>
        <w:t>期</w:t>
      </w:r>
      <w:r>
        <w:rPr>
          <w:rFonts w:ascii="Calibri" w:eastAsia="宋体" w:hAnsi="Calibri" w:cs="Times New Roman" w:hint="eastAsia"/>
          <w:szCs w:val="21"/>
        </w:rPr>
        <w:t>疫情下的</w:t>
      </w:r>
      <w:r w:rsidRPr="00A16695">
        <w:rPr>
          <w:rFonts w:ascii="Calibri" w:eastAsia="宋体" w:hAnsi="Calibri" w:cs="Times New Roman" w:hint="eastAsia"/>
          <w:szCs w:val="21"/>
        </w:rPr>
        <w:t>国内外环境中</w:t>
      </w:r>
      <w:r>
        <w:rPr>
          <w:rFonts w:ascii="Calibri" w:eastAsia="宋体" w:hAnsi="Calibri" w:cs="Times New Roman" w:hint="eastAsia"/>
          <w:szCs w:val="21"/>
        </w:rPr>
        <w:t>不</w:t>
      </w:r>
      <w:r w:rsidRPr="00A16695">
        <w:rPr>
          <w:rFonts w:ascii="Calibri" w:eastAsia="宋体" w:hAnsi="Calibri" w:cs="Times New Roman" w:hint="eastAsia"/>
          <w:szCs w:val="21"/>
        </w:rPr>
        <w:t>确定因素增多，</w:t>
      </w:r>
      <w:r>
        <w:rPr>
          <w:rFonts w:ascii="Calibri" w:eastAsia="宋体" w:hAnsi="Calibri" w:cs="Times New Roman" w:hint="eastAsia"/>
          <w:szCs w:val="21"/>
        </w:rPr>
        <w:t>上游大</w:t>
      </w:r>
      <w:r w:rsidRPr="00A16695">
        <w:rPr>
          <w:rFonts w:ascii="Calibri" w:eastAsia="宋体" w:hAnsi="Calibri" w:cs="Times New Roman" w:hint="eastAsia"/>
          <w:szCs w:val="21"/>
        </w:rPr>
        <w:t>宗商品价格上涨、电力煤炭供应紧张、严重洪涝灾害等</w:t>
      </w:r>
      <w:r>
        <w:rPr>
          <w:rFonts w:ascii="Calibri" w:eastAsia="宋体" w:hAnsi="Calibri" w:cs="Times New Roman" w:hint="eastAsia"/>
          <w:szCs w:val="21"/>
        </w:rPr>
        <w:t>，</w:t>
      </w:r>
      <w:r w:rsidRPr="00A16695">
        <w:rPr>
          <w:rFonts w:ascii="Calibri" w:eastAsia="宋体" w:hAnsi="Calibri" w:cs="Times New Roman" w:hint="eastAsia"/>
          <w:szCs w:val="21"/>
        </w:rPr>
        <w:t>影响</w:t>
      </w:r>
      <w:r>
        <w:rPr>
          <w:rFonts w:ascii="Calibri" w:eastAsia="宋体" w:hAnsi="Calibri" w:cs="Times New Roman" w:hint="eastAsia"/>
          <w:szCs w:val="21"/>
        </w:rPr>
        <w:t>车市增长压力加大。</w:t>
      </w:r>
      <w:r>
        <w:rPr>
          <w:rFonts w:ascii="Calibri" w:eastAsia="宋体" w:hAnsi="Calibri" w:cs="Times New Roman" w:hint="eastAsia"/>
          <w:szCs w:val="21"/>
        </w:rPr>
        <w:t>1</w:t>
      </w:r>
      <w:r>
        <w:rPr>
          <w:rFonts w:ascii="Calibri" w:eastAsia="宋体" w:hAnsi="Calibri" w:cs="Times New Roman"/>
          <w:szCs w:val="21"/>
        </w:rPr>
        <w:t>1</w:t>
      </w:r>
      <w:r w:rsidRPr="003A0308">
        <w:rPr>
          <w:rFonts w:ascii="Calibri" w:eastAsia="宋体" w:hAnsi="Calibri" w:cs="Times New Roman"/>
          <w:szCs w:val="21"/>
        </w:rPr>
        <w:t>月工作日</w:t>
      </w:r>
      <w:r>
        <w:rPr>
          <w:rFonts w:ascii="Calibri" w:eastAsia="宋体" w:hAnsi="Calibri" w:cs="Times New Roman" w:hint="eastAsia"/>
          <w:szCs w:val="21"/>
        </w:rPr>
        <w:t>多</w:t>
      </w:r>
      <w:r w:rsidR="003216B5">
        <w:rPr>
          <w:rFonts w:ascii="Calibri" w:eastAsia="宋体" w:hAnsi="Calibri" w:cs="Times New Roman" w:hint="eastAsia"/>
          <w:szCs w:val="21"/>
        </w:rPr>
        <w:t>于</w:t>
      </w:r>
      <w:r w:rsidR="003216B5">
        <w:rPr>
          <w:rFonts w:ascii="Calibri" w:eastAsia="宋体" w:hAnsi="Calibri" w:cs="Times New Roman" w:hint="eastAsia"/>
          <w:szCs w:val="21"/>
        </w:rPr>
        <w:t>1</w:t>
      </w:r>
      <w:r w:rsidR="003216B5">
        <w:rPr>
          <w:rFonts w:ascii="Calibri" w:eastAsia="宋体" w:hAnsi="Calibri" w:cs="Times New Roman"/>
          <w:szCs w:val="21"/>
        </w:rPr>
        <w:t>0</w:t>
      </w:r>
      <w:r w:rsidR="003216B5">
        <w:rPr>
          <w:rFonts w:ascii="Calibri" w:eastAsia="宋体" w:hAnsi="Calibri" w:cs="Times New Roman" w:hint="eastAsia"/>
          <w:szCs w:val="21"/>
        </w:rPr>
        <w:t>月，</w:t>
      </w:r>
      <w:r w:rsidRPr="003A0308">
        <w:rPr>
          <w:rFonts w:ascii="Calibri" w:eastAsia="宋体" w:hAnsi="Calibri" w:cs="Times New Roman"/>
          <w:szCs w:val="21"/>
        </w:rPr>
        <w:t>受芯片影响的产能</w:t>
      </w:r>
      <w:r>
        <w:rPr>
          <w:rFonts w:ascii="Calibri" w:eastAsia="宋体" w:hAnsi="Calibri" w:cs="Times New Roman" w:hint="eastAsia"/>
          <w:szCs w:val="21"/>
        </w:rPr>
        <w:t>逐步释放。目前</w:t>
      </w:r>
      <w:r w:rsidRPr="003A0308">
        <w:rPr>
          <w:rFonts w:ascii="Calibri" w:eastAsia="宋体" w:hAnsi="Calibri" w:cs="Times New Roman" w:hint="eastAsia"/>
          <w:szCs w:val="21"/>
        </w:rPr>
        <w:t>各地有序用电，</w:t>
      </w:r>
      <w:r>
        <w:rPr>
          <w:rFonts w:ascii="Calibri" w:eastAsia="宋体" w:hAnsi="Calibri" w:cs="Times New Roman" w:hint="eastAsia"/>
          <w:szCs w:val="21"/>
        </w:rPr>
        <w:t>对</w:t>
      </w:r>
      <w:r w:rsidRPr="003A0308">
        <w:rPr>
          <w:rFonts w:ascii="Calibri" w:eastAsia="宋体" w:hAnsi="Calibri" w:cs="Times New Roman" w:hint="eastAsia"/>
          <w:szCs w:val="21"/>
        </w:rPr>
        <w:t>汽车产业供应风险</w:t>
      </w:r>
      <w:r>
        <w:rPr>
          <w:rFonts w:ascii="Calibri" w:eastAsia="宋体" w:hAnsi="Calibri" w:cs="Times New Roman" w:hint="eastAsia"/>
          <w:szCs w:val="21"/>
        </w:rPr>
        <w:t>不大。由于</w:t>
      </w:r>
      <w:r w:rsidRPr="003A0308">
        <w:rPr>
          <w:rFonts w:ascii="Calibri" w:eastAsia="宋体" w:hAnsi="Calibri" w:cs="Times New Roman" w:hint="eastAsia"/>
          <w:szCs w:val="21"/>
        </w:rPr>
        <w:t>对新能源积分的需求大量存在，</w:t>
      </w:r>
      <w:r w:rsidRPr="003A0308">
        <w:rPr>
          <w:rFonts w:ascii="Calibri" w:eastAsia="宋体" w:hAnsi="Calibri" w:cs="Times New Roman"/>
          <w:szCs w:val="21"/>
        </w:rPr>
        <w:t>纯电动产品热度可持续到</w:t>
      </w:r>
      <w:r w:rsidRPr="003A0308">
        <w:rPr>
          <w:rFonts w:ascii="Calibri" w:eastAsia="宋体" w:hAnsi="Calibri" w:cs="Times New Roman"/>
          <w:szCs w:val="21"/>
        </w:rPr>
        <w:t>2021</w:t>
      </w:r>
      <w:r w:rsidRPr="003A0308">
        <w:rPr>
          <w:rFonts w:ascii="Calibri" w:eastAsia="宋体" w:hAnsi="Calibri" w:cs="Times New Roman"/>
          <w:szCs w:val="21"/>
        </w:rPr>
        <w:t>年底</w:t>
      </w:r>
      <w:r>
        <w:rPr>
          <w:rFonts w:ascii="Calibri" w:eastAsia="宋体" w:hAnsi="Calibri" w:cs="Times New Roman" w:hint="eastAsia"/>
          <w:szCs w:val="21"/>
        </w:rPr>
        <w:t>，因此车市新能源仍是相对较好的</w:t>
      </w:r>
      <w:r w:rsidRPr="003A0308">
        <w:rPr>
          <w:rFonts w:ascii="Calibri" w:eastAsia="宋体" w:hAnsi="Calibri" w:cs="Times New Roman"/>
          <w:szCs w:val="21"/>
        </w:rPr>
        <w:t>。</w:t>
      </w:r>
    </w:p>
    <w:p w14:paraId="512D467C" w14:textId="6436ABD3" w:rsidR="009C0EB7" w:rsidRDefault="009C0EB7" w:rsidP="009C0EB7">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Pr>
          <w:rFonts w:ascii="Calibri" w:eastAsia="宋体" w:hAnsi="Calibri" w:cs="Times New Roman" w:hint="eastAsia"/>
          <w:szCs w:val="21"/>
        </w:rPr>
        <w:t>月初的</w:t>
      </w:r>
      <w:r w:rsidR="003216B5">
        <w:rPr>
          <w:rFonts w:ascii="Calibri" w:eastAsia="宋体" w:hAnsi="Calibri" w:cs="Times New Roman" w:hint="eastAsia"/>
          <w:szCs w:val="21"/>
        </w:rPr>
        <w:t>厂商</w:t>
      </w:r>
      <w:r>
        <w:rPr>
          <w:rFonts w:ascii="Calibri" w:eastAsia="宋体" w:hAnsi="Calibri" w:cs="Times New Roman" w:hint="eastAsia"/>
          <w:szCs w:val="21"/>
        </w:rPr>
        <w:t>批发总体同比下降较大，虽然芯片供给改善，环比</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月的产销表现较强，目前生产供给明显改善，但相对去年同期的销量下降仍是较大。</w:t>
      </w:r>
    </w:p>
    <w:p w14:paraId="50F5F0F7" w14:textId="2EB44478" w:rsidR="009C0EB7" w:rsidRDefault="00A16695" w:rsidP="009C0EB7">
      <w:pPr>
        <w:ind w:firstLineChars="202" w:firstLine="424"/>
        <w:rPr>
          <w:rFonts w:ascii="Calibri" w:eastAsia="宋体" w:hAnsi="Calibri" w:cs="Times New Roman"/>
          <w:szCs w:val="21"/>
        </w:rPr>
      </w:pPr>
      <w:r>
        <w:rPr>
          <w:rFonts w:ascii="Calibri" w:eastAsia="宋体" w:hAnsi="Calibri" w:cs="Times New Roman" w:hint="eastAsia"/>
          <w:szCs w:val="21"/>
        </w:rPr>
        <w:t>供需错配问题仍需要一定时间调整。今年年底的</w:t>
      </w:r>
      <w:r w:rsidR="009C0EB7" w:rsidRPr="00946C81">
        <w:rPr>
          <w:rFonts w:ascii="Calibri" w:eastAsia="宋体" w:hAnsi="Calibri" w:cs="Times New Roman" w:hint="eastAsia"/>
          <w:szCs w:val="21"/>
        </w:rPr>
        <w:t>燃油车由于销量的惯性，仍然有增长的空间，四五线城市可以由共同富裕的目标带动收入增长，有可能拉动首购的市场</w:t>
      </w:r>
      <w:r w:rsidR="009C0EB7">
        <w:rPr>
          <w:rFonts w:ascii="Calibri" w:eastAsia="宋体" w:hAnsi="Calibri" w:cs="Times New Roman" w:hint="eastAsia"/>
          <w:szCs w:val="21"/>
        </w:rPr>
        <w:t>。由于</w:t>
      </w:r>
      <w:r w:rsidR="007936E0">
        <w:rPr>
          <w:rFonts w:ascii="Calibri" w:eastAsia="宋体" w:hAnsi="Calibri" w:cs="Times New Roman" w:hint="eastAsia"/>
          <w:szCs w:val="21"/>
        </w:rPr>
        <w:t>部分</w:t>
      </w:r>
      <w:r w:rsidR="009C0EB7" w:rsidRPr="0000272B">
        <w:rPr>
          <w:rFonts w:ascii="Calibri" w:eastAsia="宋体" w:hAnsi="Calibri" w:cs="Times New Roman" w:hint="eastAsia"/>
          <w:szCs w:val="21"/>
        </w:rPr>
        <w:t>地方政策在</w:t>
      </w:r>
      <w:r w:rsidR="009C0EB7" w:rsidRPr="0000272B">
        <w:rPr>
          <w:rFonts w:ascii="Calibri" w:eastAsia="宋体" w:hAnsi="Calibri" w:cs="Times New Roman"/>
          <w:szCs w:val="21"/>
        </w:rPr>
        <w:t>12</w:t>
      </w:r>
      <w:r w:rsidR="009C0EB7" w:rsidRPr="0000272B">
        <w:rPr>
          <w:rFonts w:ascii="Calibri" w:eastAsia="宋体" w:hAnsi="Calibri" w:cs="Times New Roman"/>
          <w:szCs w:val="21"/>
        </w:rPr>
        <w:t>月份到期，加之今年春节提前，提前催化</w:t>
      </w:r>
      <w:r w:rsidR="009C0EB7" w:rsidRPr="0000272B">
        <w:rPr>
          <w:rFonts w:ascii="Calibri" w:eastAsia="宋体" w:hAnsi="Calibri" w:cs="Times New Roman"/>
          <w:szCs w:val="21"/>
        </w:rPr>
        <w:t>11</w:t>
      </w:r>
      <w:r w:rsidR="009C0EB7" w:rsidRPr="0000272B">
        <w:rPr>
          <w:rFonts w:ascii="Calibri" w:eastAsia="宋体" w:hAnsi="Calibri" w:cs="Times New Roman"/>
          <w:szCs w:val="21"/>
        </w:rPr>
        <w:t>月、</w:t>
      </w:r>
      <w:r w:rsidR="009C0EB7" w:rsidRPr="0000272B">
        <w:rPr>
          <w:rFonts w:ascii="Calibri" w:eastAsia="宋体" w:hAnsi="Calibri" w:cs="Times New Roman"/>
          <w:szCs w:val="21"/>
        </w:rPr>
        <w:t>12</w:t>
      </w:r>
      <w:r w:rsidR="009C0EB7" w:rsidRPr="0000272B">
        <w:rPr>
          <w:rFonts w:ascii="Calibri" w:eastAsia="宋体" w:hAnsi="Calibri" w:cs="Times New Roman"/>
          <w:szCs w:val="21"/>
        </w:rPr>
        <w:t>月终端需求的热度</w:t>
      </w:r>
      <w:r w:rsidR="009C0EB7">
        <w:rPr>
          <w:rFonts w:ascii="Calibri" w:eastAsia="宋体" w:hAnsi="Calibri" w:cs="Times New Roman" w:hint="eastAsia"/>
          <w:szCs w:val="21"/>
        </w:rPr>
        <w:t>。</w:t>
      </w:r>
    </w:p>
    <w:p w14:paraId="062A1F7B" w14:textId="77777777" w:rsidR="009C0EB7" w:rsidRPr="00F87B31" w:rsidRDefault="009C0EB7" w:rsidP="009C0EB7">
      <w:pPr>
        <w:ind w:firstLineChars="135" w:firstLine="283"/>
        <w:rPr>
          <w:rFonts w:ascii="Calibri" w:eastAsia="宋体" w:hAnsi="Calibri" w:cs="Times New Roman"/>
          <w:szCs w:val="21"/>
        </w:rPr>
      </w:pPr>
    </w:p>
    <w:p w14:paraId="620069B1" w14:textId="77777777" w:rsidR="00416B7B" w:rsidRPr="002009FE" w:rsidRDefault="00416B7B" w:rsidP="00416B7B">
      <w:pPr>
        <w:numPr>
          <w:ilvl w:val="0"/>
          <w:numId w:val="2"/>
        </w:numPr>
        <w:outlineLvl w:val="1"/>
        <w:rPr>
          <w:rFonts w:ascii="黑体" w:eastAsia="黑体" w:hAnsi="黑体" w:cs="Times New Roman"/>
          <w:bCs/>
          <w:sz w:val="24"/>
        </w:rPr>
      </w:pPr>
      <w:r w:rsidRPr="00416B7B">
        <w:rPr>
          <w:rFonts w:ascii="黑体" w:eastAsia="黑体" w:hAnsi="黑体" w:cs="Times New Roman" w:hint="eastAsia"/>
          <w:bCs/>
          <w:sz w:val="24"/>
        </w:rPr>
        <w:t>广州车展体现中国车市可持续增长的韧性强</w:t>
      </w:r>
    </w:p>
    <w:p w14:paraId="76AA6452" w14:textId="77777777" w:rsidR="00621D12" w:rsidRPr="00621D12" w:rsidRDefault="00621D12" w:rsidP="00621D12">
      <w:pPr>
        <w:ind w:firstLineChars="135" w:firstLine="283"/>
        <w:rPr>
          <w:rFonts w:ascii="Calibri" w:eastAsia="宋体" w:hAnsi="Calibri" w:cs="Times New Roman"/>
          <w:szCs w:val="21"/>
        </w:rPr>
      </w:pPr>
      <w:r w:rsidRPr="00621D12">
        <w:rPr>
          <w:rFonts w:ascii="Calibri" w:eastAsia="宋体" w:hAnsi="Calibri" w:cs="Times New Roman" w:hint="eastAsia"/>
          <w:szCs w:val="21"/>
        </w:rPr>
        <w:t>在世界疫情冲击下，广州国际汽车展览会秉承“新科技、新生活”的主题，顺利开幕。这次车展多角度向观众呈现全球汽车行业在产品升级、品牌升级、产业升级和出行模式等多方面的创新理念和成果，在疫情后的新经济环境下，中国车市消费可持续增长的韧性强，乘用车产品升级推动国内消费市场的持续发展。</w:t>
      </w:r>
    </w:p>
    <w:p w14:paraId="01D7833F" w14:textId="77777777" w:rsidR="00621D12" w:rsidRPr="00621D12" w:rsidRDefault="00621D12" w:rsidP="00621D12">
      <w:pPr>
        <w:ind w:firstLineChars="135" w:firstLine="283"/>
        <w:rPr>
          <w:rFonts w:ascii="Calibri" w:eastAsia="宋体" w:hAnsi="Calibri" w:cs="Times New Roman"/>
          <w:szCs w:val="21"/>
        </w:rPr>
      </w:pPr>
      <w:r w:rsidRPr="00621D12">
        <w:rPr>
          <w:rFonts w:ascii="Calibri" w:eastAsia="宋体" w:hAnsi="Calibri" w:cs="Times New Roman" w:hint="eastAsia"/>
          <w:szCs w:val="21"/>
        </w:rPr>
        <w:t>以一汽、东风、上汽、长安、广汽、北汽为首的“国家队”车企纷纷展开了纯电动高端领域的布局；在本届车展上，不仅有纯电新车型推出，也有品牌的独立，更有新公司的成立，</w:t>
      </w:r>
      <w:r w:rsidRPr="00621D12">
        <w:rPr>
          <w:rFonts w:ascii="Calibri" w:eastAsia="宋体" w:hAnsi="Calibri" w:cs="Times New Roman"/>
          <w:szCs w:val="21"/>
        </w:rPr>
        <w:t xml:space="preserve"> “</w:t>
      </w:r>
      <w:r w:rsidRPr="00621D12">
        <w:rPr>
          <w:rFonts w:ascii="Calibri" w:eastAsia="宋体" w:hAnsi="Calibri" w:cs="Times New Roman"/>
          <w:szCs w:val="21"/>
        </w:rPr>
        <w:t>国家队</w:t>
      </w:r>
      <w:r w:rsidRPr="00621D12">
        <w:rPr>
          <w:rFonts w:ascii="Calibri" w:eastAsia="宋体" w:hAnsi="Calibri" w:cs="Times New Roman"/>
          <w:szCs w:val="21"/>
        </w:rPr>
        <w:t>”</w:t>
      </w:r>
      <w:r w:rsidRPr="00621D12">
        <w:rPr>
          <w:rFonts w:ascii="Calibri" w:eastAsia="宋体" w:hAnsi="Calibri" w:cs="Times New Roman"/>
          <w:szCs w:val="21"/>
        </w:rPr>
        <w:t>正全力扩充新能源市场的布局。而新品牌智己、阿维塔、沙龙汽车、飞凡汽车的全面发力，颇有传统车企革命创新的新势力迸发的感觉。</w:t>
      </w:r>
    </w:p>
    <w:p w14:paraId="43D2B944" w14:textId="77777777" w:rsidR="00621D12" w:rsidRPr="00621D12" w:rsidRDefault="00621D12" w:rsidP="00621D12">
      <w:pPr>
        <w:ind w:firstLineChars="135" w:firstLine="283"/>
        <w:rPr>
          <w:rFonts w:ascii="Calibri" w:eastAsia="宋体" w:hAnsi="Calibri" w:cs="Times New Roman"/>
          <w:szCs w:val="21"/>
        </w:rPr>
      </w:pPr>
      <w:r w:rsidRPr="00621D12">
        <w:rPr>
          <w:rFonts w:ascii="Calibri" w:eastAsia="宋体" w:hAnsi="Calibri" w:cs="Times New Roman" w:hint="eastAsia"/>
          <w:szCs w:val="21"/>
        </w:rPr>
        <w:t>传统车的社会贡献大，传统燃油车仍有较大的发展空间。目前由于传统燃油车的整车税收高，汽油税收多，带来传统车的成本偏高。中国企业也是世界企业，不仅要考虑欧美的政策环境，也要考虑世界需求。相对于欧洲企业的激进电动化，我们的燃油车将有逆势发展更大的现实机遇，因此我们不做激进的禁售燃油车时间表的表态是极其明智的。</w:t>
      </w:r>
    </w:p>
    <w:p w14:paraId="061A3416" w14:textId="77777777" w:rsidR="00621D12" w:rsidRPr="00621D12" w:rsidRDefault="00621D12" w:rsidP="00621D12">
      <w:pPr>
        <w:ind w:firstLineChars="135" w:firstLine="283"/>
        <w:rPr>
          <w:rFonts w:ascii="Calibri" w:eastAsia="宋体" w:hAnsi="Calibri" w:cs="Times New Roman"/>
          <w:szCs w:val="21"/>
        </w:rPr>
      </w:pPr>
      <w:r w:rsidRPr="00621D12">
        <w:rPr>
          <w:rFonts w:ascii="Calibri" w:eastAsia="宋体" w:hAnsi="Calibri" w:cs="Times New Roman" w:hint="eastAsia"/>
          <w:szCs w:val="21"/>
        </w:rPr>
        <w:t>相对于国内自主品牌的全面发展线路，国际车企坚定纯电动线路，应对零排放时代到来。豪华车品牌纷纷将自己的新能源产品导入中国市场，本届车展上，众多豪华品牌带来新能源车型。</w:t>
      </w:r>
    </w:p>
    <w:p w14:paraId="2EB03684" w14:textId="3F1DB7B3" w:rsidR="00B528E4" w:rsidRDefault="00621D12" w:rsidP="00621D12">
      <w:pPr>
        <w:ind w:firstLineChars="135" w:firstLine="283"/>
        <w:rPr>
          <w:rFonts w:ascii="Calibri" w:eastAsia="宋体" w:hAnsi="Calibri" w:cs="Times New Roman"/>
          <w:szCs w:val="21"/>
        </w:rPr>
      </w:pPr>
      <w:r w:rsidRPr="00621D12">
        <w:rPr>
          <w:rFonts w:ascii="Calibri" w:eastAsia="宋体" w:hAnsi="Calibri" w:cs="Times New Roman" w:hint="eastAsia"/>
          <w:szCs w:val="21"/>
        </w:rPr>
        <w:t>合资品牌占据中国车市半壁江山，也是车企大集团的利润来源，合资企业的社会贡献巨大，合资新能源的发展值得期待。目前的电动化浪潮合资车企的表现分化严重，既有沉着不变的，也有像大众等加速推进的。</w:t>
      </w:r>
    </w:p>
    <w:p w14:paraId="721D13DC" w14:textId="77777777" w:rsidR="00621D12" w:rsidRPr="00621D12" w:rsidRDefault="00621D12" w:rsidP="00621D12">
      <w:pPr>
        <w:ind w:firstLineChars="135" w:firstLine="283"/>
        <w:rPr>
          <w:rFonts w:ascii="Calibri" w:eastAsia="宋体" w:hAnsi="Calibri" w:cs="Times New Roman"/>
          <w:szCs w:val="21"/>
        </w:rPr>
      </w:pPr>
    </w:p>
    <w:p w14:paraId="392843C4" w14:textId="06594F73" w:rsidR="00B528E4" w:rsidRPr="002009FE" w:rsidRDefault="00621D12" w:rsidP="00B528E4">
      <w:pPr>
        <w:numPr>
          <w:ilvl w:val="0"/>
          <w:numId w:val="2"/>
        </w:numPr>
        <w:outlineLvl w:val="1"/>
        <w:rPr>
          <w:rFonts w:ascii="黑体" w:eastAsia="黑体" w:hAnsi="黑体" w:cs="Times New Roman"/>
          <w:b/>
          <w:bCs/>
          <w:sz w:val="24"/>
        </w:rPr>
      </w:pPr>
      <w:r>
        <w:rPr>
          <w:rFonts w:ascii="黑体" w:eastAsia="黑体" w:hAnsi="黑体" w:cs="Times New Roman"/>
          <w:b/>
          <w:bCs/>
          <w:sz w:val="24"/>
        </w:rPr>
        <w:t>20</w:t>
      </w:r>
      <w:r w:rsidR="000578B5" w:rsidRPr="000578B5">
        <w:rPr>
          <w:rFonts w:ascii="黑体" w:eastAsia="黑体" w:hAnsi="黑体" w:cs="Times New Roman"/>
          <w:b/>
          <w:bCs/>
          <w:sz w:val="24"/>
        </w:rPr>
        <w:t>21年</w:t>
      </w:r>
      <w:r w:rsidR="00416B7B">
        <w:rPr>
          <w:rFonts w:ascii="黑体" w:eastAsia="黑体" w:hAnsi="黑体" w:cs="Times New Roman"/>
          <w:b/>
          <w:bCs/>
          <w:sz w:val="24"/>
        </w:rPr>
        <w:t>1</w:t>
      </w:r>
      <w:r w:rsidR="00416B7B">
        <w:rPr>
          <w:rFonts w:ascii="黑体" w:eastAsia="黑体" w:hAnsi="黑体" w:cs="Times New Roman" w:hint="eastAsia"/>
          <w:b/>
          <w:bCs/>
          <w:sz w:val="24"/>
        </w:rPr>
        <w:t>-</w:t>
      </w:r>
      <w:r w:rsidR="00416B7B">
        <w:rPr>
          <w:rFonts w:ascii="黑体" w:eastAsia="黑体" w:hAnsi="黑体" w:cs="Times New Roman"/>
          <w:b/>
          <w:bCs/>
          <w:sz w:val="24"/>
        </w:rPr>
        <w:t>9</w:t>
      </w:r>
      <w:r w:rsidR="00416B7B">
        <w:rPr>
          <w:rFonts w:ascii="黑体" w:eastAsia="黑体" w:hAnsi="黑体" w:cs="Times New Roman" w:hint="eastAsia"/>
          <w:b/>
          <w:bCs/>
          <w:sz w:val="24"/>
        </w:rPr>
        <w:t>月</w:t>
      </w:r>
      <w:r w:rsidR="000578B5" w:rsidRPr="000578B5">
        <w:rPr>
          <w:rFonts w:ascii="黑体" w:eastAsia="黑体" w:hAnsi="黑体" w:cs="Times New Roman"/>
          <w:b/>
          <w:bCs/>
          <w:sz w:val="24"/>
        </w:rPr>
        <w:t>新能源车锂电池</w:t>
      </w:r>
      <w:r w:rsidR="00416B7B">
        <w:rPr>
          <w:rFonts w:ascii="黑体" w:eastAsia="黑体" w:hAnsi="黑体" w:cs="Times New Roman"/>
          <w:b/>
          <w:bCs/>
          <w:sz w:val="24"/>
        </w:rPr>
        <w:t>9300</w:t>
      </w:r>
      <w:r w:rsidR="000578B5" w:rsidRPr="000578B5">
        <w:rPr>
          <w:rFonts w:ascii="黑体" w:eastAsia="黑体" w:hAnsi="黑体" w:cs="Times New Roman"/>
          <w:b/>
          <w:bCs/>
          <w:sz w:val="24"/>
        </w:rPr>
        <w:t>万度</w:t>
      </w:r>
    </w:p>
    <w:p w14:paraId="6A4CD874" w14:textId="77777777" w:rsidR="00621D12" w:rsidRDefault="000578B5" w:rsidP="00621D12">
      <w:pPr>
        <w:ind w:firstLineChars="202" w:firstLine="424"/>
        <w:rPr>
          <w:rFonts w:ascii="Calibri" w:eastAsia="宋体" w:hAnsi="Calibri" w:cs="Times New Roman"/>
          <w:szCs w:val="21"/>
        </w:rPr>
      </w:pPr>
      <w:r w:rsidRPr="000578B5">
        <w:rPr>
          <w:rFonts w:ascii="Calibri" w:eastAsia="宋体" w:hAnsi="Calibri" w:cs="Times New Roman" w:hint="eastAsia"/>
          <w:szCs w:val="21"/>
        </w:rPr>
        <w:t>根据测算，按照汽车生产</w:t>
      </w:r>
      <w:r>
        <w:rPr>
          <w:rFonts w:ascii="Calibri" w:eastAsia="宋体" w:hAnsi="Calibri" w:cs="Times New Roman" w:hint="eastAsia"/>
          <w:szCs w:val="21"/>
        </w:rPr>
        <w:t>销量</w:t>
      </w:r>
      <w:r w:rsidRPr="000578B5">
        <w:rPr>
          <w:rFonts w:ascii="Calibri" w:eastAsia="宋体" w:hAnsi="Calibri" w:cs="Times New Roman" w:hint="eastAsia"/>
          <w:szCs w:val="21"/>
        </w:rPr>
        <w:t>数据</w:t>
      </w:r>
      <w:r w:rsidRPr="000578B5">
        <w:rPr>
          <w:rFonts w:ascii="Calibri" w:eastAsia="宋体" w:hAnsi="Calibri" w:cs="Times New Roman"/>
          <w:szCs w:val="21"/>
        </w:rPr>
        <w:t>2021</w:t>
      </w:r>
      <w:r w:rsidRPr="000578B5">
        <w:rPr>
          <w:rFonts w:ascii="Calibri" w:eastAsia="宋体" w:hAnsi="Calibri" w:cs="Times New Roman"/>
          <w:szCs w:val="21"/>
        </w:rPr>
        <w:t>年</w:t>
      </w:r>
      <w:r w:rsidRPr="000578B5">
        <w:rPr>
          <w:rFonts w:ascii="Calibri" w:eastAsia="宋体" w:hAnsi="Calibri" w:cs="Times New Roman"/>
          <w:szCs w:val="21"/>
        </w:rPr>
        <w:t>9</w:t>
      </w:r>
      <w:r w:rsidRPr="000578B5">
        <w:rPr>
          <w:rFonts w:ascii="Calibri" w:eastAsia="宋体" w:hAnsi="Calibri" w:cs="Times New Roman"/>
          <w:szCs w:val="21"/>
        </w:rPr>
        <w:t>月新能源汽车产量</w:t>
      </w:r>
      <w:r w:rsidRPr="000578B5">
        <w:rPr>
          <w:rFonts w:ascii="Calibri" w:eastAsia="宋体" w:hAnsi="Calibri" w:cs="Times New Roman"/>
          <w:szCs w:val="21"/>
        </w:rPr>
        <w:t>24</w:t>
      </w:r>
      <w:r w:rsidR="00926EB3">
        <w:rPr>
          <w:rFonts w:ascii="Calibri" w:eastAsia="宋体" w:hAnsi="Calibri" w:cs="Times New Roman"/>
          <w:szCs w:val="21"/>
        </w:rPr>
        <w:t>万辆</w:t>
      </w:r>
      <w:r w:rsidRPr="000578B5">
        <w:rPr>
          <w:rFonts w:ascii="Calibri" w:eastAsia="宋体" w:hAnsi="Calibri" w:cs="Times New Roman"/>
          <w:szCs w:val="21"/>
        </w:rPr>
        <w:t>，同比增长</w:t>
      </w:r>
      <w:r w:rsidRPr="000578B5">
        <w:rPr>
          <w:rFonts w:ascii="Calibri" w:eastAsia="宋体" w:hAnsi="Calibri" w:cs="Times New Roman"/>
          <w:szCs w:val="21"/>
        </w:rPr>
        <w:t>148%</w:t>
      </w:r>
      <w:r w:rsidRPr="000578B5">
        <w:rPr>
          <w:rFonts w:ascii="Calibri" w:eastAsia="宋体" w:hAnsi="Calibri" w:cs="Times New Roman"/>
          <w:szCs w:val="21"/>
        </w:rPr>
        <w:t>；电池装机总电量约</w:t>
      </w:r>
      <w:r w:rsidRPr="000578B5">
        <w:rPr>
          <w:rFonts w:ascii="Calibri" w:eastAsia="宋体" w:hAnsi="Calibri" w:cs="Times New Roman"/>
          <w:szCs w:val="21"/>
        </w:rPr>
        <w:t>1102</w:t>
      </w:r>
      <w:r w:rsidRPr="000578B5">
        <w:rPr>
          <w:rFonts w:ascii="Calibri" w:eastAsia="宋体" w:hAnsi="Calibri" w:cs="Times New Roman"/>
          <w:szCs w:val="21"/>
        </w:rPr>
        <w:t>万度，同比增长</w:t>
      </w:r>
      <w:r w:rsidRPr="000578B5">
        <w:rPr>
          <w:rFonts w:ascii="Calibri" w:eastAsia="宋体" w:hAnsi="Calibri" w:cs="Times New Roman"/>
          <w:szCs w:val="21"/>
        </w:rPr>
        <w:t>121%</w:t>
      </w:r>
      <w:r w:rsidRPr="000578B5">
        <w:rPr>
          <w:rFonts w:ascii="Calibri" w:eastAsia="宋体" w:hAnsi="Calibri" w:cs="Times New Roman"/>
          <w:szCs w:val="21"/>
        </w:rPr>
        <w:t>。</w:t>
      </w:r>
      <w:r w:rsidR="00621D12">
        <w:rPr>
          <w:rFonts w:hint="eastAsia"/>
        </w:rPr>
        <w:t>三</w:t>
      </w:r>
      <w:r w:rsidR="00416B7B">
        <w:rPr>
          <w:rFonts w:hint="eastAsia"/>
        </w:rPr>
        <w:t>季度</w:t>
      </w:r>
      <w:r w:rsidR="00416B7B" w:rsidRPr="00331CBE">
        <w:rPr>
          <w:rFonts w:hint="eastAsia"/>
        </w:rPr>
        <w:t>新能源汽车产量</w:t>
      </w:r>
      <w:r w:rsidR="00416B7B">
        <w:t>88</w:t>
      </w:r>
      <w:r w:rsidR="00926EB3">
        <w:rPr>
          <w:rFonts w:hint="eastAsia"/>
        </w:rPr>
        <w:t>万辆</w:t>
      </w:r>
      <w:r w:rsidR="00416B7B" w:rsidRPr="00331CBE">
        <w:rPr>
          <w:rFonts w:hint="eastAsia"/>
        </w:rPr>
        <w:t>，同比增长</w:t>
      </w:r>
      <w:r w:rsidR="00416B7B">
        <w:t>186</w:t>
      </w:r>
      <w:r w:rsidR="00416B7B" w:rsidRPr="00331CBE">
        <w:rPr>
          <w:rFonts w:hint="eastAsia"/>
        </w:rPr>
        <w:t>%；电池装机总电量约</w:t>
      </w:r>
      <w:r w:rsidR="00416B7B">
        <w:t>4211</w:t>
      </w:r>
      <w:r w:rsidR="00416B7B" w:rsidRPr="00331CBE">
        <w:rPr>
          <w:rFonts w:hint="eastAsia"/>
        </w:rPr>
        <w:t>万度，同比增长</w:t>
      </w:r>
      <w:r w:rsidR="00416B7B">
        <w:t>171</w:t>
      </w:r>
      <w:r w:rsidR="00416B7B" w:rsidRPr="00331CBE">
        <w:rPr>
          <w:rFonts w:hint="eastAsia"/>
        </w:rPr>
        <w:t>%。</w:t>
      </w:r>
      <w:r w:rsidR="00621D12">
        <w:rPr>
          <w:rFonts w:hint="eastAsia"/>
        </w:rPr>
        <w:t>2</w:t>
      </w:r>
      <w:r w:rsidR="00621D12">
        <w:t>0</w:t>
      </w:r>
      <w:r w:rsidR="00416B7B" w:rsidRPr="00331CBE">
        <w:rPr>
          <w:rFonts w:hint="eastAsia"/>
        </w:rPr>
        <w:t>2</w:t>
      </w:r>
      <w:r w:rsidR="00416B7B">
        <w:t>1</w:t>
      </w:r>
      <w:r w:rsidR="00416B7B" w:rsidRPr="00331CBE">
        <w:rPr>
          <w:rFonts w:hint="eastAsia"/>
        </w:rPr>
        <w:t>年1-</w:t>
      </w:r>
      <w:r w:rsidR="00416B7B">
        <w:t>9月</w:t>
      </w:r>
      <w:r w:rsidR="00416B7B" w:rsidRPr="00331CBE">
        <w:rPr>
          <w:rFonts w:hint="eastAsia"/>
        </w:rPr>
        <w:t>的乘用车电池需求</w:t>
      </w:r>
      <w:r w:rsidR="00416B7B">
        <w:t>9385</w:t>
      </w:r>
      <w:r w:rsidR="00416B7B" w:rsidRPr="00331CBE">
        <w:rPr>
          <w:rFonts w:hint="eastAsia"/>
        </w:rPr>
        <w:t>万度，同比增长</w:t>
      </w:r>
      <w:r w:rsidR="00416B7B">
        <w:t>174</w:t>
      </w:r>
      <w:r w:rsidR="00416B7B" w:rsidRPr="00331CBE">
        <w:rPr>
          <w:rFonts w:hint="eastAsia"/>
        </w:rPr>
        <w:t>%</w:t>
      </w:r>
      <w:r w:rsidR="00416B7B">
        <w:rPr>
          <w:rFonts w:hint="eastAsia"/>
        </w:rPr>
        <w:t>。</w:t>
      </w:r>
      <w:r w:rsidRPr="000578B5">
        <w:rPr>
          <w:rFonts w:ascii="Calibri" w:eastAsia="宋体" w:hAnsi="Calibri" w:cs="Times New Roman"/>
          <w:szCs w:val="21"/>
        </w:rPr>
        <w:t>虽然三元仍是趋势，但磷酸铁锂</w:t>
      </w:r>
      <w:r w:rsidR="00416B7B">
        <w:rPr>
          <w:rFonts w:ascii="Calibri" w:eastAsia="宋体" w:hAnsi="Calibri" w:cs="Times New Roman" w:hint="eastAsia"/>
          <w:szCs w:val="21"/>
        </w:rPr>
        <w:t>近期</w:t>
      </w:r>
      <w:r w:rsidRPr="000578B5">
        <w:rPr>
          <w:rFonts w:ascii="Calibri" w:eastAsia="宋体" w:hAnsi="Calibri" w:cs="Times New Roman"/>
          <w:szCs w:val="21"/>
        </w:rPr>
        <w:t>恢复</w:t>
      </w:r>
      <w:r w:rsidR="00416B7B">
        <w:rPr>
          <w:rFonts w:ascii="Calibri" w:eastAsia="宋体" w:hAnsi="Calibri" w:cs="Times New Roman" w:hint="eastAsia"/>
          <w:szCs w:val="21"/>
        </w:rPr>
        <w:t>较明显，未来三元电池仍是发展趋势</w:t>
      </w:r>
      <w:r w:rsidRPr="000578B5">
        <w:rPr>
          <w:rFonts w:ascii="Calibri" w:eastAsia="宋体" w:hAnsi="Calibri" w:cs="Times New Roman"/>
          <w:szCs w:val="21"/>
        </w:rPr>
        <w:t>。</w:t>
      </w:r>
    </w:p>
    <w:p w14:paraId="51906E77" w14:textId="52866497" w:rsidR="00B528E4" w:rsidRDefault="000578B5" w:rsidP="00621D12">
      <w:pPr>
        <w:ind w:firstLineChars="202" w:firstLine="424"/>
        <w:rPr>
          <w:rFonts w:ascii="Calibri" w:eastAsia="宋体" w:hAnsi="Calibri" w:cs="Times New Roman"/>
          <w:szCs w:val="21"/>
        </w:rPr>
      </w:pPr>
      <w:r w:rsidRPr="000578B5">
        <w:rPr>
          <w:rFonts w:ascii="Calibri" w:eastAsia="宋体" w:hAnsi="Calibri" w:cs="Times New Roman" w:hint="eastAsia"/>
          <w:szCs w:val="21"/>
        </w:rPr>
        <w:t>从电池配套特征看，市场竞争格局剧烈变化，宁德时代、比亚迪</w:t>
      </w:r>
      <w:r w:rsidR="00621D12">
        <w:rPr>
          <w:rFonts w:ascii="Calibri" w:eastAsia="宋体" w:hAnsi="Calibri" w:cs="Times New Roman" w:hint="eastAsia"/>
          <w:szCs w:val="21"/>
        </w:rPr>
        <w:t>、</w:t>
      </w:r>
      <w:r w:rsidR="00416B7B">
        <w:rPr>
          <w:rFonts w:ascii="Calibri" w:eastAsia="宋体" w:hAnsi="Calibri" w:cs="Times New Roman"/>
          <w:szCs w:val="21"/>
        </w:rPr>
        <w:t>LG</w:t>
      </w:r>
      <w:r w:rsidR="00416B7B">
        <w:rPr>
          <w:rFonts w:ascii="Calibri" w:eastAsia="宋体" w:hAnsi="Calibri" w:cs="Times New Roman" w:hint="eastAsia"/>
          <w:szCs w:val="21"/>
        </w:rPr>
        <w:t>电池</w:t>
      </w:r>
      <w:r w:rsidRPr="000578B5">
        <w:rPr>
          <w:rFonts w:ascii="Calibri" w:eastAsia="宋体" w:hAnsi="Calibri" w:cs="Times New Roman" w:hint="eastAsia"/>
          <w:szCs w:val="21"/>
        </w:rPr>
        <w:t>的总体优势地位明显。二线企业的表现巨变，中航锂电、合肥国轩、蜂巢能源等随着配套企业的变化而份额波动。</w:t>
      </w:r>
    </w:p>
    <w:p w14:paraId="67B08DDE" w14:textId="77777777" w:rsidR="00416B7B" w:rsidRPr="002009FE" w:rsidRDefault="00416B7B" w:rsidP="000578B5">
      <w:pPr>
        <w:ind w:firstLineChars="270" w:firstLine="567"/>
        <w:rPr>
          <w:rFonts w:ascii="Calibri" w:eastAsia="宋体" w:hAnsi="Calibri" w:cs="Times New Roman"/>
          <w:szCs w:val="21"/>
        </w:rPr>
      </w:pPr>
    </w:p>
    <w:p w14:paraId="5858FB41" w14:textId="306DD5C3" w:rsidR="00B528E4" w:rsidRPr="002009FE" w:rsidRDefault="00953AE1" w:rsidP="00B528E4">
      <w:pPr>
        <w:numPr>
          <w:ilvl w:val="0"/>
          <w:numId w:val="2"/>
        </w:numPr>
        <w:outlineLvl w:val="1"/>
        <w:rPr>
          <w:rFonts w:ascii="黑体" w:eastAsia="黑体" w:hAnsi="黑体" w:cs="黑体"/>
          <w:bCs/>
          <w:sz w:val="24"/>
        </w:rPr>
      </w:pPr>
      <w:r>
        <w:rPr>
          <w:rFonts w:ascii="黑体" w:eastAsia="黑体" w:hAnsi="黑体" w:cs="黑体" w:hint="eastAsia"/>
          <w:bCs/>
          <w:sz w:val="24"/>
        </w:rPr>
        <w:t>个别合资</w:t>
      </w:r>
      <w:r w:rsidR="007A2D3B" w:rsidRPr="007A2D3B">
        <w:rPr>
          <w:rFonts w:ascii="黑体" w:eastAsia="黑体" w:hAnsi="黑体" w:cs="黑体"/>
          <w:bCs/>
          <w:sz w:val="24"/>
        </w:rPr>
        <w:t>遭退股</w:t>
      </w:r>
      <w:r w:rsidR="007A2D3B">
        <w:rPr>
          <w:rFonts w:ascii="黑体" w:eastAsia="黑体" w:hAnsi="黑体" w:cs="黑体" w:hint="eastAsia"/>
          <w:bCs/>
          <w:sz w:val="24"/>
        </w:rPr>
        <w:t>是必然趋势</w:t>
      </w:r>
    </w:p>
    <w:p w14:paraId="7ADC5253" w14:textId="08CDD84A" w:rsidR="00953AE1" w:rsidRPr="00953AE1" w:rsidRDefault="003E43F1" w:rsidP="00953AE1">
      <w:pPr>
        <w:ind w:firstLineChars="177" w:firstLine="372"/>
        <w:rPr>
          <w:rFonts w:asciiTheme="minorEastAsia" w:hAnsiTheme="minorEastAsia" w:cs="黑体"/>
          <w:bCs/>
          <w:szCs w:val="21"/>
        </w:rPr>
      </w:pPr>
      <w:r w:rsidRPr="003E43F1">
        <w:rPr>
          <w:rFonts w:asciiTheme="minorEastAsia" w:hAnsiTheme="minorEastAsia" w:cs="黑体" w:hint="eastAsia"/>
          <w:bCs/>
          <w:szCs w:val="21"/>
        </w:rPr>
        <w:t>合资企业最重要的任务是盈利，如果企业持续不盈利，其存在价值也值得思考。</w:t>
      </w:r>
      <w:r w:rsidR="007A2D3B" w:rsidRPr="00953AE1">
        <w:rPr>
          <w:rFonts w:asciiTheme="minorEastAsia" w:hAnsiTheme="minorEastAsia" w:cs="黑体" w:hint="eastAsia"/>
          <w:bCs/>
          <w:szCs w:val="21"/>
        </w:rPr>
        <w:t>目前看合资企业的运行状态分化，随着</w:t>
      </w:r>
      <w:r w:rsidR="00953AE1" w:rsidRPr="00953AE1">
        <w:rPr>
          <w:rFonts w:asciiTheme="minorEastAsia" w:hAnsiTheme="minorEastAsia" w:cs="黑体" w:hint="eastAsia"/>
          <w:bCs/>
          <w:szCs w:val="21"/>
        </w:rPr>
        <w:t>主力</w:t>
      </w:r>
      <w:r w:rsidR="007A2D3B" w:rsidRPr="00953AE1">
        <w:rPr>
          <w:rFonts w:asciiTheme="minorEastAsia" w:hAnsiTheme="minorEastAsia" w:cs="黑体" w:hint="eastAsia"/>
          <w:bCs/>
          <w:szCs w:val="21"/>
        </w:rPr>
        <w:t>自主品牌的全面崛起，加之新能源车与传统车的双积分政策驱动，车企需要更加全面的体系竞争力适应中国</w:t>
      </w:r>
      <w:r w:rsidR="00953AE1" w:rsidRPr="00953AE1">
        <w:rPr>
          <w:rFonts w:asciiTheme="minorEastAsia" w:hAnsiTheme="minorEastAsia" w:cs="黑体" w:hint="eastAsia"/>
          <w:bCs/>
          <w:szCs w:val="21"/>
        </w:rPr>
        <w:t>不断提升的市场竞争。</w:t>
      </w:r>
    </w:p>
    <w:p w14:paraId="68ABDAFB" w14:textId="4E2F5B40" w:rsidR="00B528E4" w:rsidRDefault="00953AE1" w:rsidP="00953AE1">
      <w:pPr>
        <w:ind w:firstLineChars="177" w:firstLine="372"/>
        <w:rPr>
          <w:rFonts w:asciiTheme="minorEastAsia" w:hAnsiTheme="minorEastAsia" w:cs="黑体"/>
          <w:bCs/>
          <w:szCs w:val="21"/>
        </w:rPr>
      </w:pPr>
      <w:r w:rsidRPr="00953AE1">
        <w:rPr>
          <w:rFonts w:asciiTheme="minorEastAsia" w:hAnsiTheme="minorEastAsia" w:cs="黑体" w:hint="eastAsia"/>
          <w:bCs/>
          <w:szCs w:val="21"/>
        </w:rPr>
        <w:t>近两年的车市传统车出现持续萎缩局面，内部结构的豪华车下压与自主品牌上攻，导致合资品牌的主力阵地快速萎缩。随着自主品牌的S</w:t>
      </w:r>
      <w:r w:rsidRPr="00953AE1">
        <w:rPr>
          <w:rFonts w:asciiTheme="minorEastAsia" w:hAnsiTheme="minorEastAsia" w:cs="黑体"/>
          <w:bCs/>
          <w:szCs w:val="21"/>
        </w:rPr>
        <w:t>UV</w:t>
      </w:r>
      <w:r w:rsidRPr="00953AE1">
        <w:rPr>
          <w:rFonts w:asciiTheme="minorEastAsia" w:hAnsiTheme="minorEastAsia" w:cs="黑体" w:hint="eastAsia"/>
          <w:bCs/>
          <w:szCs w:val="21"/>
        </w:rPr>
        <w:t>产品竞争力提升明显，合资品牌的中高端高利润市场遭遇严重冲击，S</w:t>
      </w:r>
      <w:r w:rsidRPr="00953AE1">
        <w:rPr>
          <w:rFonts w:asciiTheme="minorEastAsia" w:hAnsiTheme="minorEastAsia" w:cs="黑体"/>
          <w:bCs/>
          <w:szCs w:val="21"/>
        </w:rPr>
        <w:t>UV</w:t>
      </w:r>
      <w:r w:rsidRPr="00953AE1">
        <w:rPr>
          <w:rFonts w:asciiTheme="minorEastAsia" w:hAnsiTheme="minorEastAsia" w:cs="黑体" w:hint="eastAsia"/>
          <w:bCs/>
          <w:szCs w:val="21"/>
        </w:rPr>
        <w:t>B级市场的合资车企呈现日系与德系表现超强的局面，其他合资车企的高端S</w:t>
      </w:r>
      <w:r w:rsidRPr="00953AE1">
        <w:rPr>
          <w:rFonts w:asciiTheme="minorEastAsia" w:hAnsiTheme="minorEastAsia" w:cs="黑体"/>
          <w:bCs/>
          <w:szCs w:val="21"/>
        </w:rPr>
        <w:t>UV</w:t>
      </w:r>
      <w:r w:rsidRPr="00953AE1">
        <w:rPr>
          <w:rFonts w:asciiTheme="minorEastAsia" w:hAnsiTheme="minorEastAsia" w:cs="黑体" w:hint="eastAsia"/>
          <w:bCs/>
          <w:szCs w:val="21"/>
        </w:rPr>
        <w:t>销量下滑，必然导致利润损失巨大。近几年合资企业的本土化和降成本举措仍不够全面彻底，尤其是合资外方的变革速度慢，个别</w:t>
      </w:r>
      <w:r w:rsidR="007A2D3B" w:rsidRPr="00953AE1">
        <w:rPr>
          <w:rFonts w:asciiTheme="minorEastAsia" w:hAnsiTheme="minorEastAsia" w:cs="黑体" w:hint="eastAsia"/>
          <w:bCs/>
          <w:szCs w:val="21"/>
        </w:rPr>
        <w:t>合资企业的运行效益明显恶化</w:t>
      </w:r>
      <w:r w:rsidR="00B528E4" w:rsidRPr="00953AE1">
        <w:rPr>
          <w:rFonts w:asciiTheme="minorEastAsia" w:hAnsiTheme="minorEastAsia" w:cs="黑体" w:hint="eastAsia"/>
          <w:bCs/>
          <w:szCs w:val="21"/>
        </w:rPr>
        <w:t>。</w:t>
      </w:r>
    </w:p>
    <w:p w14:paraId="3D6F670C" w14:textId="7089BC1F" w:rsidR="00B528E4" w:rsidRPr="00E40E5D" w:rsidRDefault="00953AE1" w:rsidP="00E40E5D">
      <w:pPr>
        <w:ind w:firstLineChars="177" w:firstLine="372"/>
        <w:rPr>
          <w:rFonts w:asciiTheme="minorEastAsia" w:hAnsiTheme="minorEastAsia" w:cs="黑体"/>
          <w:bCs/>
          <w:szCs w:val="21"/>
        </w:rPr>
      </w:pPr>
      <w:r>
        <w:rPr>
          <w:rFonts w:asciiTheme="minorEastAsia" w:hAnsiTheme="minorEastAsia" w:cs="黑体" w:hint="eastAsia"/>
          <w:bCs/>
          <w:szCs w:val="21"/>
        </w:rPr>
        <w:t>由于合资企业的产品力提升缓慢，新技术提升慢，因此个别合资企业的中国市场竞争力难以大幅回升，亏损压力将持续。合资企业的中方退出也是合理的选择。</w:t>
      </w:r>
    </w:p>
    <w:p w14:paraId="61E92500" w14:textId="77777777" w:rsidR="00B528E4" w:rsidRPr="00066AF4" w:rsidRDefault="00B528E4" w:rsidP="00B528E4">
      <w:pPr>
        <w:rPr>
          <w:rFonts w:asciiTheme="minorEastAsia" w:hAnsiTheme="minorEastAsia" w:cs="黑体"/>
          <w:bCs/>
          <w:szCs w:val="21"/>
        </w:rPr>
      </w:pPr>
    </w:p>
    <w:p w14:paraId="483D5FE5" w14:textId="77777777" w:rsidR="00B528E4" w:rsidRPr="00044A32" w:rsidRDefault="00B528E4" w:rsidP="00B528E4">
      <w:pPr>
        <w:outlineLvl w:val="0"/>
        <w:rPr>
          <w:b/>
        </w:rPr>
      </w:pPr>
      <w:r w:rsidRPr="00044A32">
        <w:rPr>
          <w:rFonts w:hint="eastAsia"/>
          <w:b/>
        </w:rPr>
        <w:t>二、</w:t>
      </w:r>
      <w:r w:rsidRPr="00044A32">
        <w:rPr>
          <w:rFonts w:cs="宋体" w:hint="eastAsia"/>
          <w:b/>
          <w:bCs/>
        </w:rPr>
        <w:t>本周上市新车</w:t>
      </w:r>
    </w:p>
    <w:p w14:paraId="00F52DB6" w14:textId="77777777" w:rsidR="00B528E4" w:rsidRPr="002A4FE7" w:rsidRDefault="00B528E4" w:rsidP="00B528E4">
      <w:pPr>
        <w:pStyle w:val="a8"/>
        <w:numPr>
          <w:ilvl w:val="0"/>
          <w:numId w:val="6"/>
        </w:numPr>
        <w:ind w:firstLineChars="0"/>
        <w:outlineLvl w:val="1"/>
        <w:rPr>
          <w:b/>
        </w:rPr>
      </w:pPr>
      <w:r w:rsidRPr="002A4FE7">
        <w:rPr>
          <w:b/>
        </w:rPr>
        <w:t>大众ID.4CROZZ</w:t>
      </w:r>
      <w:r w:rsidR="00313114">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F4541D" w14:paraId="6EA59C9D" w14:textId="77777777" w:rsidTr="00313114">
        <w:trPr>
          <w:tblCellSpacing w:w="15" w:type="dxa"/>
        </w:trPr>
        <w:tc>
          <w:tcPr>
            <w:tcW w:w="0" w:type="auto"/>
            <w:tcBorders>
              <w:top w:val="nil"/>
              <w:left w:val="nil"/>
              <w:bottom w:val="nil"/>
              <w:right w:val="nil"/>
            </w:tcBorders>
            <w:hideMark/>
          </w:tcPr>
          <w:p w14:paraId="58E73DD6" w14:textId="77777777" w:rsidR="00B528E4" w:rsidRPr="00F4541D"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3A3C26B7" w14:textId="77777777" w:rsidR="00B528E4" w:rsidRPr="00F4541D" w:rsidRDefault="00B528E4" w:rsidP="00313114">
            <w:pPr>
              <w:widowControl/>
              <w:jc w:val="left"/>
              <w:rPr>
                <w:rFonts w:ascii="微软雅黑" w:eastAsia="微软雅黑" w:hAnsi="微软雅黑" w:cs="宋体"/>
                <w:color w:val="000000"/>
                <w:kern w:val="0"/>
                <w:sz w:val="27"/>
                <w:szCs w:val="27"/>
              </w:rPr>
            </w:pPr>
            <w:r w:rsidRPr="00F4541D">
              <w:rPr>
                <w:rFonts w:ascii="微软雅黑" w:eastAsia="微软雅黑" w:hAnsi="微软雅黑" w:cs="宋体"/>
                <w:noProof/>
                <w:color w:val="000000"/>
                <w:kern w:val="0"/>
                <w:sz w:val="27"/>
                <w:szCs w:val="27"/>
              </w:rPr>
              <w:drawing>
                <wp:inline distT="0" distB="0" distL="0" distR="0" wp14:anchorId="36285DC6" wp14:editId="5C24B45D">
                  <wp:extent cx="1800000" cy="1050534"/>
                  <wp:effectExtent l="0" t="0" r="0" b="0"/>
                  <wp:docPr id="22" name="图片 22" descr="http://58.246.65.10:8231/UploadFile/2021111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58.246.65.10:8231/UploadFile/20211119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50534"/>
                          </a:xfrm>
                          <a:prstGeom prst="rect">
                            <a:avLst/>
                          </a:prstGeom>
                          <a:noFill/>
                          <a:ln>
                            <a:noFill/>
                          </a:ln>
                        </pic:spPr>
                      </pic:pic>
                    </a:graphicData>
                  </a:graphic>
                </wp:inline>
              </w:drawing>
            </w:r>
          </w:p>
        </w:tc>
        <w:tc>
          <w:tcPr>
            <w:tcW w:w="0" w:type="auto"/>
            <w:tcBorders>
              <w:top w:val="nil"/>
              <w:left w:val="nil"/>
              <w:bottom w:val="nil"/>
              <w:right w:val="nil"/>
            </w:tcBorders>
            <w:hideMark/>
          </w:tcPr>
          <w:p w14:paraId="30A615F8" w14:textId="77777777" w:rsidR="00B528E4" w:rsidRPr="00F4541D" w:rsidRDefault="00B528E4" w:rsidP="00313114">
            <w:pPr>
              <w:widowControl/>
              <w:jc w:val="left"/>
              <w:rPr>
                <w:rFonts w:ascii="微软雅黑" w:eastAsia="微软雅黑" w:hAnsi="微软雅黑" w:cs="宋体"/>
                <w:color w:val="000000"/>
                <w:kern w:val="0"/>
                <w:sz w:val="27"/>
                <w:szCs w:val="27"/>
              </w:rPr>
            </w:pPr>
          </w:p>
        </w:tc>
      </w:tr>
    </w:tbl>
    <w:p w14:paraId="627624D9" w14:textId="77777777" w:rsidR="00B528E4" w:rsidRDefault="00B528E4" w:rsidP="00B528E4">
      <w:r>
        <w:t>11月18日，大众ID.4CROZZ新车型上市，新车补贴后售价为27.59万元，享受国补1.8万元。</w:t>
      </w:r>
    </w:p>
    <w:p w14:paraId="697095BC" w14:textId="77777777" w:rsidR="00B528E4" w:rsidRDefault="00B528E4" w:rsidP="00B528E4">
      <w:r>
        <w:rPr>
          <w:rFonts w:hint="eastAsia"/>
        </w:rPr>
        <w:t>外观方面，新车与现款车型基本保持一致。</w:t>
      </w:r>
    </w:p>
    <w:p w14:paraId="1F2D45A2" w14:textId="77777777" w:rsidR="00B528E4" w:rsidRDefault="00B528E4" w:rsidP="00B528E4">
      <w:r>
        <w:rPr>
          <w:rFonts w:hint="eastAsia"/>
        </w:rPr>
        <w:t>动力方面，新车搭载纯电动机，</w:t>
      </w:r>
      <w:r>
        <w:t>NEDC综合续航里程达513km。</w:t>
      </w:r>
    </w:p>
    <w:p w14:paraId="5A3C77DA" w14:textId="77777777" w:rsidR="00B528E4" w:rsidRPr="002C6735" w:rsidRDefault="00B528E4" w:rsidP="00B528E4">
      <w:pPr>
        <w:pStyle w:val="a8"/>
        <w:numPr>
          <w:ilvl w:val="0"/>
          <w:numId w:val="6"/>
        </w:numPr>
        <w:ind w:firstLineChars="0"/>
        <w:outlineLvl w:val="1"/>
        <w:rPr>
          <w:b/>
        </w:rPr>
      </w:pPr>
      <w:r w:rsidRPr="002C6735">
        <w:rPr>
          <w:b/>
        </w:rPr>
        <w:t>特斯拉ModelY</w:t>
      </w:r>
      <w:r w:rsidR="00313114">
        <w:rPr>
          <w:b/>
        </w:rPr>
        <w:t>后轮驱动版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685A9C" w14:paraId="4E34C987" w14:textId="77777777" w:rsidTr="00313114">
        <w:trPr>
          <w:tblCellSpacing w:w="15" w:type="dxa"/>
        </w:trPr>
        <w:tc>
          <w:tcPr>
            <w:tcW w:w="0" w:type="auto"/>
            <w:tcBorders>
              <w:top w:val="nil"/>
              <w:left w:val="nil"/>
              <w:bottom w:val="nil"/>
              <w:right w:val="nil"/>
            </w:tcBorders>
            <w:hideMark/>
          </w:tcPr>
          <w:p w14:paraId="5CCED9CF" w14:textId="77777777" w:rsidR="00B528E4" w:rsidRPr="00685A9C"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0686BE75" w14:textId="77777777" w:rsidR="00B528E4" w:rsidRPr="00685A9C" w:rsidRDefault="00B528E4" w:rsidP="00313114">
            <w:pPr>
              <w:widowControl/>
              <w:jc w:val="left"/>
              <w:rPr>
                <w:rFonts w:ascii="微软雅黑" w:eastAsia="微软雅黑" w:hAnsi="微软雅黑" w:cs="宋体"/>
                <w:color w:val="000000"/>
                <w:kern w:val="0"/>
                <w:sz w:val="27"/>
                <w:szCs w:val="27"/>
              </w:rPr>
            </w:pPr>
            <w:r w:rsidRPr="00685A9C">
              <w:rPr>
                <w:rFonts w:ascii="微软雅黑" w:eastAsia="微软雅黑" w:hAnsi="微软雅黑" w:cs="宋体"/>
                <w:noProof/>
                <w:color w:val="000000"/>
                <w:kern w:val="0"/>
                <w:sz w:val="27"/>
                <w:szCs w:val="27"/>
              </w:rPr>
              <w:drawing>
                <wp:inline distT="0" distB="0" distL="0" distR="0" wp14:anchorId="7C9B256B" wp14:editId="71D5921F">
                  <wp:extent cx="1800000" cy="928613"/>
                  <wp:effectExtent l="0" t="0" r="0" b="5080"/>
                  <wp:docPr id="33" name="图片 33" descr="http://58.246.65.10:8231/UploadFile/2021111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11150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28613"/>
                          </a:xfrm>
                          <a:prstGeom prst="rect">
                            <a:avLst/>
                          </a:prstGeom>
                          <a:noFill/>
                          <a:ln>
                            <a:noFill/>
                          </a:ln>
                        </pic:spPr>
                      </pic:pic>
                    </a:graphicData>
                  </a:graphic>
                </wp:inline>
              </w:drawing>
            </w:r>
          </w:p>
        </w:tc>
        <w:tc>
          <w:tcPr>
            <w:tcW w:w="0" w:type="auto"/>
            <w:tcBorders>
              <w:top w:val="nil"/>
              <w:left w:val="nil"/>
              <w:bottom w:val="nil"/>
              <w:right w:val="nil"/>
            </w:tcBorders>
            <w:hideMark/>
          </w:tcPr>
          <w:p w14:paraId="7A454353" w14:textId="77777777" w:rsidR="00B528E4" w:rsidRPr="00685A9C" w:rsidRDefault="00B528E4" w:rsidP="00313114">
            <w:pPr>
              <w:widowControl/>
              <w:jc w:val="left"/>
              <w:rPr>
                <w:rFonts w:ascii="微软雅黑" w:eastAsia="微软雅黑" w:hAnsi="微软雅黑" w:cs="宋体"/>
                <w:color w:val="000000"/>
                <w:kern w:val="0"/>
                <w:sz w:val="27"/>
                <w:szCs w:val="27"/>
              </w:rPr>
            </w:pPr>
          </w:p>
        </w:tc>
      </w:tr>
    </w:tbl>
    <w:p w14:paraId="5A241BFB" w14:textId="77777777" w:rsidR="00B528E4" w:rsidRDefault="00B528E4" w:rsidP="00B528E4">
      <w:r>
        <w:t>11月12日，特斯拉ModelY后轮驱动版上市，新车售价为27.6万元，享受国补1.58万元。</w:t>
      </w:r>
    </w:p>
    <w:p w14:paraId="36524127" w14:textId="77777777" w:rsidR="00B528E4" w:rsidRDefault="00B528E4" w:rsidP="00B528E4">
      <w:r>
        <w:rPr>
          <w:rFonts w:hint="eastAsia"/>
        </w:rPr>
        <w:t>外观方面，新车与现款车型基本保持一致。</w:t>
      </w:r>
    </w:p>
    <w:p w14:paraId="0C9A4E43" w14:textId="77777777" w:rsidR="00B528E4" w:rsidRDefault="00B528E4" w:rsidP="00B528E4">
      <w:r>
        <w:rPr>
          <w:rFonts w:hint="eastAsia"/>
        </w:rPr>
        <w:t>动力方面，新车搭载纯电动机，</w:t>
      </w:r>
      <w:r>
        <w:t>CTLC综合续航里程达545km。</w:t>
      </w:r>
    </w:p>
    <w:p w14:paraId="550EEC89" w14:textId="77777777" w:rsidR="00B528E4" w:rsidRPr="00B2624E" w:rsidRDefault="00B528E4" w:rsidP="00B528E4">
      <w:pPr>
        <w:pStyle w:val="a8"/>
        <w:numPr>
          <w:ilvl w:val="0"/>
          <w:numId w:val="6"/>
        </w:numPr>
        <w:ind w:firstLineChars="0"/>
        <w:outlineLvl w:val="1"/>
        <w:rPr>
          <w:b/>
        </w:rPr>
      </w:pPr>
      <w:r w:rsidRPr="00B2624E">
        <w:rPr>
          <w:b/>
        </w:rPr>
        <w:t>五菱NanoEV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757D74" w14:paraId="1C50DDE6" w14:textId="77777777" w:rsidTr="00313114">
        <w:trPr>
          <w:tblCellSpacing w:w="15" w:type="dxa"/>
        </w:trPr>
        <w:tc>
          <w:tcPr>
            <w:tcW w:w="0" w:type="auto"/>
            <w:tcBorders>
              <w:top w:val="nil"/>
              <w:left w:val="nil"/>
              <w:bottom w:val="nil"/>
              <w:right w:val="nil"/>
            </w:tcBorders>
            <w:hideMark/>
          </w:tcPr>
          <w:p w14:paraId="3895349D" w14:textId="77777777" w:rsidR="00B528E4" w:rsidRPr="00757D74"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4F1033A4" w14:textId="77777777" w:rsidR="00B528E4" w:rsidRPr="00757D74" w:rsidRDefault="00B528E4" w:rsidP="00313114">
            <w:pPr>
              <w:widowControl/>
              <w:jc w:val="left"/>
              <w:rPr>
                <w:rFonts w:ascii="微软雅黑" w:eastAsia="微软雅黑" w:hAnsi="微软雅黑" w:cs="宋体"/>
                <w:color w:val="000000"/>
                <w:kern w:val="0"/>
                <w:sz w:val="27"/>
                <w:szCs w:val="27"/>
              </w:rPr>
            </w:pPr>
            <w:r w:rsidRPr="00757D74">
              <w:rPr>
                <w:rFonts w:ascii="微软雅黑" w:eastAsia="微软雅黑" w:hAnsi="微软雅黑" w:cs="宋体"/>
                <w:noProof/>
                <w:color w:val="000000"/>
                <w:kern w:val="0"/>
                <w:sz w:val="27"/>
                <w:szCs w:val="27"/>
              </w:rPr>
              <w:drawing>
                <wp:inline distT="0" distB="0" distL="0" distR="0" wp14:anchorId="3F8317AE" wp14:editId="58396C60">
                  <wp:extent cx="1800000" cy="1022485"/>
                  <wp:effectExtent l="0" t="0" r="0" b="6350"/>
                  <wp:docPr id="18" name="图片 18" descr="http://58.246.65.10:8231/UploadFile/2021111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58.246.65.10:8231/UploadFile/20211118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22485"/>
                          </a:xfrm>
                          <a:prstGeom prst="rect">
                            <a:avLst/>
                          </a:prstGeom>
                          <a:noFill/>
                          <a:ln>
                            <a:noFill/>
                          </a:ln>
                        </pic:spPr>
                      </pic:pic>
                    </a:graphicData>
                  </a:graphic>
                </wp:inline>
              </w:drawing>
            </w:r>
          </w:p>
        </w:tc>
        <w:tc>
          <w:tcPr>
            <w:tcW w:w="0" w:type="auto"/>
            <w:tcBorders>
              <w:top w:val="nil"/>
              <w:left w:val="nil"/>
              <w:bottom w:val="nil"/>
              <w:right w:val="nil"/>
            </w:tcBorders>
            <w:hideMark/>
          </w:tcPr>
          <w:p w14:paraId="3B99F4CB" w14:textId="77777777" w:rsidR="00B528E4" w:rsidRPr="00757D74" w:rsidRDefault="00B528E4" w:rsidP="00313114">
            <w:pPr>
              <w:widowControl/>
              <w:jc w:val="left"/>
              <w:rPr>
                <w:rFonts w:ascii="微软雅黑" w:eastAsia="微软雅黑" w:hAnsi="微软雅黑" w:cs="宋体"/>
                <w:color w:val="000000"/>
                <w:kern w:val="0"/>
                <w:sz w:val="27"/>
                <w:szCs w:val="27"/>
              </w:rPr>
            </w:pPr>
          </w:p>
        </w:tc>
      </w:tr>
    </w:tbl>
    <w:p w14:paraId="655D8556" w14:textId="77777777" w:rsidR="00B528E4" w:rsidRDefault="00B528E4" w:rsidP="00B528E4">
      <w:r>
        <w:t>11月17日，五菱NanoEV上市，新车共推2款，补贴后售价区间为4.98万-5.98万元，享受国补0.69万元。</w:t>
      </w:r>
    </w:p>
    <w:p w14:paraId="4FD12AB4" w14:textId="77777777" w:rsidR="00B528E4" w:rsidRDefault="00B528E4" w:rsidP="00B528E4">
      <w:r>
        <w:rPr>
          <w:rFonts w:hint="eastAsia"/>
        </w:rPr>
        <w:t>外观方面，新车采用全封闭前脸、分体式尾灯。</w:t>
      </w:r>
    </w:p>
    <w:p w14:paraId="26601BE6" w14:textId="77777777" w:rsidR="00B528E4" w:rsidRDefault="00B528E4" w:rsidP="00B528E4">
      <w:r>
        <w:rPr>
          <w:rFonts w:hint="eastAsia"/>
        </w:rPr>
        <w:t>动力方面，新车搭载纯电动机，</w:t>
      </w:r>
      <w:r>
        <w:t>NEDC综合续航里程达305km。</w:t>
      </w:r>
    </w:p>
    <w:p w14:paraId="3B719778" w14:textId="77777777" w:rsidR="00B528E4" w:rsidRPr="002454AC" w:rsidRDefault="00B528E4" w:rsidP="00B528E4">
      <w:pPr>
        <w:pStyle w:val="a8"/>
        <w:numPr>
          <w:ilvl w:val="0"/>
          <w:numId w:val="6"/>
        </w:numPr>
        <w:ind w:firstLineChars="0"/>
        <w:outlineLvl w:val="1"/>
        <w:rPr>
          <w:b/>
        </w:rPr>
      </w:pPr>
      <w:r w:rsidRPr="002454AC">
        <w:rPr>
          <w:b/>
        </w:rPr>
        <w:t>奔奔E-Star</w:t>
      </w:r>
      <w:r w:rsidR="00313114">
        <w:rPr>
          <w:b/>
        </w:rPr>
        <w:t>国民版多彩款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C019FC" w14:paraId="5252D8C1" w14:textId="77777777" w:rsidTr="00313114">
        <w:trPr>
          <w:tblCellSpacing w:w="15" w:type="dxa"/>
        </w:trPr>
        <w:tc>
          <w:tcPr>
            <w:tcW w:w="0" w:type="auto"/>
            <w:tcBorders>
              <w:top w:val="nil"/>
              <w:left w:val="nil"/>
              <w:bottom w:val="nil"/>
              <w:right w:val="nil"/>
            </w:tcBorders>
            <w:hideMark/>
          </w:tcPr>
          <w:p w14:paraId="0FCC9FCD" w14:textId="77777777" w:rsidR="00B528E4" w:rsidRPr="00C019FC"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381B40B5" w14:textId="77777777" w:rsidR="00B528E4" w:rsidRPr="00C019FC" w:rsidRDefault="00B528E4" w:rsidP="00313114">
            <w:pPr>
              <w:widowControl/>
              <w:jc w:val="left"/>
              <w:rPr>
                <w:rFonts w:ascii="微软雅黑" w:eastAsia="微软雅黑" w:hAnsi="微软雅黑" w:cs="宋体"/>
                <w:color w:val="000000"/>
                <w:kern w:val="0"/>
                <w:sz w:val="27"/>
                <w:szCs w:val="27"/>
              </w:rPr>
            </w:pPr>
            <w:r w:rsidRPr="00C019FC">
              <w:rPr>
                <w:rFonts w:ascii="微软雅黑" w:eastAsia="微软雅黑" w:hAnsi="微软雅黑" w:cs="宋体"/>
                <w:noProof/>
                <w:color w:val="000000"/>
                <w:kern w:val="0"/>
                <w:sz w:val="27"/>
                <w:szCs w:val="27"/>
              </w:rPr>
              <w:drawing>
                <wp:inline distT="0" distB="0" distL="0" distR="0" wp14:anchorId="0F3781AA" wp14:editId="48B8EAE7">
                  <wp:extent cx="1800000" cy="985443"/>
                  <wp:effectExtent l="0" t="0" r="0" b="5715"/>
                  <wp:docPr id="14" name="图片 14" descr="http://58.246.65.10:8231/UploadFile/2021111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1116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85443"/>
                          </a:xfrm>
                          <a:prstGeom prst="rect">
                            <a:avLst/>
                          </a:prstGeom>
                          <a:noFill/>
                          <a:ln>
                            <a:noFill/>
                          </a:ln>
                        </pic:spPr>
                      </pic:pic>
                    </a:graphicData>
                  </a:graphic>
                </wp:inline>
              </w:drawing>
            </w:r>
          </w:p>
        </w:tc>
        <w:tc>
          <w:tcPr>
            <w:tcW w:w="0" w:type="auto"/>
            <w:tcBorders>
              <w:top w:val="nil"/>
              <w:left w:val="nil"/>
              <w:bottom w:val="nil"/>
              <w:right w:val="nil"/>
            </w:tcBorders>
            <w:hideMark/>
          </w:tcPr>
          <w:p w14:paraId="088E334D" w14:textId="77777777" w:rsidR="00B528E4" w:rsidRPr="00C019FC" w:rsidRDefault="00B528E4" w:rsidP="00313114">
            <w:pPr>
              <w:widowControl/>
              <w:jc w:val="left"/>
              <w:rPr>
                <w:rFonts w:ascii="微软雅黑" w:eastAsia="微软雅黑" w:hAnsi="微软雅黑" w:cs="宋体"/>
                <w:color w:val="000000"/>
                <w:kern w:val="0"/>
                <w:sz w:val="27"/>
                <w:szCs w:val="27"/>
              </w:rPr>
            </w:pPr>
          </w:p>
        </w:tc>
      </w:tr>
    </w:tbl>
    <w:p w14:paraId="4F523E67" w14:textId="77777777" w:rsidR="00B528E4" w:rsidRDefault="00B528E4" w:rsidP="00B528E4">
      <w:r>
        <w:t>11月15日，奔奔E-Star国民版多彩款上市，补贴后新车售价为4.98万元，享受国补1.15万元。</w:t>
      </w:r>
    </w:p>
    <w:p w14:paraId="3714F295" w14:textId="77777777" w:rsidR="00B528E4" w:rsidRDefault="00B528E4" w:rsidP="00B528E4">
      <w:r>
        <w:rPr>
          <w:rFonts w:hint="eastAsia"/>
        </w:rPr>
        <w:t>动力方面，新车搭载纯电动机，</w:t>
      </w:r>
      <w:r>
        <w:t>NEDC综合续航里程达301km。</w:t>
      </w:r>
    </w:p>
    <w:p w14:paraId="3605BA20" w14:textId="77777777" w:rsidR="00C22FFE" w:rsidRPr="002454AC" w:rsidRDefault="00C22FFE" w:rsidP="00C22FFE">
      <w:pPr>
        <w:pStyle w:val="a8"/>
        <w:numPr>
          <w:ilvl w:val="0"/>
          <w:numId w:val="6"/>
        </w:numPr>
        <w:ind w:firstLineChars="0"/>
        <w:outlineLvl w:val="1"/>
        <w:rPr>
          <w:b/>
        </w:rPr>
      </w:pPr>
      <w:r w:rsidRPr="002454AC">
        <w:rPr>
          <w:b/>
        </w:rPr>
        <w:t>风行S60EV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22FFE" w:rsidRPr="00C019FC" w14:paraId="35F09860" w14:textId="77777777" w:rsidTr="00BD1205">
        <w:trPr>
          <w:tblCellSpacing w:w="15" w:type="dxa"/>
        </w:trPr>
        <w:tc>
          <w:tcPr>
            <w:tcW w:w="0" w:type="auto"/>
            <w:tcBorders>
              <w:top w:val="nil"/>
              <w:left w:val="nil"/>
              <w:bottom w:val="nil"/>
              <w:right w:val="nil"/>
            </w:tcBorders>
            <w:hideMark/>
          </w:tcPr>
          <w:p w14:paraId="14C23153" w14:textId="77777777" w:rsidR="00C22FFE" w:rsidRPr="00C019FC" w:rsidRDefault="00C22FFE" w:rsidP="00BD1205">
            <w:pPr>
              <w:widowControl/>
              <w:jc w:val="left"/>
              <w:rPr>
                <w:rFonts w:ascii="宋体" w:eastAsia="宋体" w:hAnsi="宋体" w:cs="宋体"/>
                <w:kern w:val="0"/>
                <w:sz w:val="24"/>
              </w:rPr>
            </w:pPr>
          </w:p>
        </w:tc>
        <w:tc>
          <w:tcPr>
            <w:tcW w:w="0" w:type="auto"/>
            <w:tcBorders>
              <w:top w:val="nil"/>
              <w:left w:val="nil"/>
              <w:bottom w:val="nil"/>
              <w:right w:val="nil"/>
            </w:tcBorders>
            <w:hideMark/>
          </w:tcPr>
          <w:p w14:paraId="78EAEC81" w14:textId="77777777" w:rsidR="00C22FFE" w:rsidRPr="00C019FC" w:rsidRDefault="00C22FFE" w:rsidP="00BD1205">
            <w:pPr>
              <w:widowControl/>
              <w:jc w:val="left"/>
              <w:rPr>
                <w:rFonts w:ascii="微软雅黑" w:eastAsia="微软雅黑" w:hAnsi="微软雅黑" w:cs="宋体"/>
                <w:color w:val="000000"/>
                <w:kern w:val="0"/>
                <w:sz w:val="27"/>
                <w:szCs w:val="27"/>
              </w:rPr>
            </w:pPr>
            <w:r w:rsidRPr="00C019FC">
              <w:rPr>
                <w:rFonts w:ascii="微软雅黑" w:eastAsia="微软雅黑" w:hAnsi="微软雅黑" w:cs="宋体"/>
                <w:noProof/>
                <w:color w:val="000000"/>
                <w:kern w:val="0"/>
                <w:sz w:val="27"/>
                <w:szCs w:val="27"/>
              </w:rPr>
              <w:drawing>
                <wp:inline distT="0" distB="0" distL="0" distR="0" wp14:anchorId="77372A10" wp14:editId="454CABF0">
                  <wp:extent cx="1800000" cy="966727"/>
                  <wp:effectExtent l="0" t="0" r="0" b="5080"/>
                  <wp:docPr id="13" name="图片 13" descr="http://58.246.65.10:8231/UploadFile/2021111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11116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66727"/>
                          </a:xfrm>
                          <a:prstGeom prst="rect">
                            <a:avLst/>
                          </a:prstGeom>
                          <a:noFill/>
                          <a:ln>
                            <a:noFill/>
                          </a:ln>
                        </pic:spPr>
                      </pic:pic>
                    </a:graphicData>
                  </a:graphic>
                </wp:inline>
              </w:drawing>
            </w:r>
          </w:p>
        </w:tc>
        <w:tc>
          <w:tcPr>
            <w:tcW w:w="0" w:type="auto"/>
            <w:tcBorders>
              <w:top w:val="nil"/>
              <w:left w:val="nil"/>
              <w:bottom w:val="nil"/>
              <w:right w:val="nil"/>
            </w:tcBorders>
            <w:hideMark/>
          </w:tcPr>
          <w:p w14:paraId="67800945" w14:textId="77777777" w:rsidR="00C22FFE" w:rsidRPr="00C019FC" w:rsidRDefault="00C22FFE" w:rsidP="00BD1205">
            <w:pPr>
              <w:widowControl/>
              <w:jc w:val="left"/>
              <w:rPr>
                <w:rFonts w:ascii="微软雅黑" w:eastAsia="微软雅黑" w:hAnsi="微软雅黑" w:cs="宋体"/>
                <w:color w:val="000000"/>
                <w:kern w:val="0"/>
                <w:sz w:val="27"/>
                <w:szCs w:val="27"/>
              </w:rPr>
            </w:pPr>
          </w:p>
        </w:tc>
      </w:tr>
    </w:tbl>
    <w:p w14:paraId="6A125B76" w14:textId="77777777" w:rsidR="00C22FFE" w:rsidRDefault="00C22FFE" w:rsidP="00C22FFE">
      <w:r>
        <w:t>11月15日，风行S60EV上市，补贴后新车售价为15.99万元。</w:t>
      </w:r>
    </w:p>
    <w:p w14:paraId="5D4BADBC" w14:textId="77777777" w:rsidR="00C22FFE" w:rsidRDefault="00C22FFE" w:rsidP="00C22FFE">
      <w:r>
        <w:rPr>
          <w:rFonts w:hint="eastAsia"/>
        </w:rPr>
        <w:t>外观方面，新车采用现代化设计、贯穿式前脸。</w:t>
      </w:r>
    </w:p>
    <w:p w14:paraId="3B54E668" w14:textId="77777777" w:rsidR="00C22FFE" w:rsidRDefault="00C22FFE" w:rsidP="00C22FFE">
      <w:r>
        <w:rPr>
          <w:rFonts w:hint="eastAsia"/>
        </w:rPr>
        <w:t>动力方面，新车搭载纯电动机，</w:t>
      </w:r>
      <w:r>
        <w:t>NEDC综合续航里程达415km。</w:t>
      </w:r>
    </w:p>
    <w:p w14:paraId="743C1155" w14:textId="77777777" w:rsidR="00B528E4" w:rsidRPr="002C6735" w:rsidRDefault="00B528E4" w:rsidP="00B528E4">
      <w:pPr>
        <w:pStyle w:val="a8"/>
        <w:numPr>
          <w:ilvl w:val="0"/>
          <w:numId w:val="6"/>
        </w:numPr>
        <w:ind w:firstLineChars="0"/>
        <w:outlineLvl w:val="1"/>
        <w:rPr>
          <w:b/>
        </w:rPr>
      </w:pPr>
      <w:r w:rsidRPr="002C6735">
        <w:rPr>
          <w:b/>
        </w:rPr>
        <w:t>几何EX3</w:t>
      </w:r>
      <w:r w:rsidR="00313114">
        <w:rPr>
          <w:b/>
        </w:rPr>
        <w:t>功夫牛</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685A9C" w14:paraId="77F8A98E" w14:textId="77777777" w:rsidTr="00313114">
        <w:trPr>
          <w:tblCellSpacing w:w="15" w:type="dxa"/>
        </w:trPr>
        <w:tc>
          <w:tcPr>
            <w:tcW w:w="0" w:type="auto"/>
            <w:tcBorders>
              <w:top w:val="nil"/>
              <w:left w:val="nil"/>
              <w:bottom w:val="nil"/>
              <w:right w:val="nil"/>
            </w:tcBorders>
            <w:hideMark/>
          </w:tcPr>
          <w:p w14:paraId="3F71D600" w14:textId="77777777" w:rsidR="00B528E4" w:rsidRPr="00685A9C"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0D2B9C0A" w14:textId="77777777" w:rsidR="00B528E4" w:rsidRPr="00685A9C" w:rsidRDefault="00B528E4" w:rsidP="00313114">
            <w:pPr>
              <w:widowControl/>
              <w:jc w:val="left"/>
              <w:rPr>
                <w:rFonts w:ascii="微软雅黑" w:eastAsia="微软雅黑" w:hAnsi="微软雅黑" w:cs="宋体"/>
                <w:color w:val="000000"/>
                <w:kern w:val="0"/>
                <w:sz w:val="27"/>
                <w:szCs w:val="27"/>
              </w:rPr>
            </w:pPr>
            <w:r w:rsidRPr="00685A9C">
              <w:rPr>
                <w:rFonts w:ascii="微软雅黑" w:eastAsia="微软雅黑" w:hAnsi="微软雅黑" w:cs="宋体"/>
                <w:noProof/>
                <w:color w:val="000000"/>
                <w:kern w:val="0"/>
                <w:sz w:val="27"/>
                <w:szCs w:val="27"/>
              </w:rPr>
              <w:drawing>
                <wp:inline distT="0" distB="0" distL="0" distR="0" wp14:anchorId="4EDDCCAF" wp14:editId="514A04D9">
                  <wp:extent cx="1800000" cy="1032787"/>
                  <wp:effectExtent l="0" t="0" r="0" b="0"/>
                  <wp:docPr id="34" name="图片 34" descr="http://58.246.65.10:8231/UploadFile/2021111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1115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1032787"/>
                          </a:xfrm>
                          <a:prstGeom prst="rect">
                            <a:avLst/>
                          </a:prstGeom>
                          <a:noFill/>
                          <a:ln>
                            <a:noFill/>
                          </a:ln>
                        </pic:spPr>
                      </pic:pic>
                    </a:graphicData>
                  </a:graphic>
                </wp:inline>
              </w:drawing>
            </w:r>
          </w:p>
        </w:tc>
        <w:tc>
          <w:tcPr>
            <w:tcW w:w="0" w:type="auto"/>
            <w:tcBorders>
              <w:top w:val="nil"/>
              <w:left w:val="nil"/>
              <w:bottom w:val="nil"/>
              <w:right w:val="nil"/>
            </w:tcBorders>
            <w:hideMark/>
          </w:tcPr>
          <w:p w14:paraId="5D0DDD89" w14:textId="77777777" w:rsidR="00B528E4" w:rsidRPr="00685A9C" w:rsidRDefault="00B528E4" w:rsidP="00313114">
            <w:pPr>
              <w:widowControl/>
              <w:jc w:val="left"/>
              <w:rPr>
                <w:rFonts w:ascii="微软雅黑" w:eastAsia="微软雅黑" w:hAnsi="微软雅黑" w:cs="宋体"/>
                <w:color w:val="000000"/>
                <w:kern w:val="0"/>
                <w:sz w:val="27"/>
                <w:szCs w:val="27"/>
              </w:rPr>
            </w:pPr>
          </w:p>
        </w:tc>
      </w:tr>
    </w:tbl>
    <w:p w14:paraId="198DB628" w14:textId="77777777" w:rsidR="00B528E4" w:rsidRDefault="00B528E4" w:rsidP="00B528E4">
      <w:r>
        <w:t>11月14日，几何EX3功夫牛上市，新车共推3款，补贴后售价区间为5.88-6.88万元，享受国补0.94万元。</w:t>
      </w:r>
    </w:p>
    <w:p w14:paraId="6C91E2E3" w14:textId="77777777" w:rsidR="00B528E4" w:rsidRDefault="00B528E4" w:rsidP="00B528E4">
      <w:r>
        <w:rPr>
          <w:rFonts w:hint="eastAsia"/>
        </w:rPr>
        <w:t>外观方面，新车采用直瀑式半封闭式格栅、多边形尾灯组。</w:t>
      </w:r>
    </w:p>
    <w:p w14:paraId="33BA0DCF" w14:textId="77777777" w:rsidR="00B528E4" w:rsidRDefault="00B528E4" w:rsidP="00B528E4">
      <w:r>
        <w:rPr>
          <w:rFonts w:hint="eastAsia"/>
        </w:rPr>
        <w:t>内饰方面，新车采用</w:t>
      </w:r>
      <w:r>
        <w:t>8英寸悬浮式中控屏、7英寸液晶仪表。</w:t>
      </w:r>
    </w:p>
    <w:p w14:paraId="03B0950C" w14:textId="77777777" w:rsidR="00B528E4" w:rsidRDefault="00B528E4" w:rsidP="00B528E4">
      <w:r>
        <w:rPr>
          <w:rFonts w:hint="eastAsia"/>
        </w:rPr>
        <w:t>动力方面，新车搭载纯电动机，</w:t>
      </w:r>
      <w:r>
        <w:t>CLTC综合续航里程达322km。</w:t>
      </w:r>
    </w:p>
    <w:p w14:paraId="0230C31A" w14:textId="77777777" w:rsidR="00B528E4" w:rsidRPr="002C6735" w:rsidRDefault="00B528E4" w:rsidP="00B528E4">
      <w:pPr>
        <w:pStyle w:val="a8"/>
        <w:numPr>
          <w:ilvl w:val="0"/>
          <w:numId w:val="6"/>
        </w:numPr>
        <w:ind w:firstLineChars="0"/>
        <w:outlineLvl w:val="1"/>
        <w:rPr>
          <w:b/>
        </w:rPr>
      </w:pPr>
      <w:r w:rsidRPr="002C6735">
        <w:rPr>
          <w:b/>
        </w:rPr>
        <w:t>YOUNG光小新5</w:t>
      </w:r>
      <w:r w:rsidR="00313114">
        <w:rPr>
          <w:b/>
        </w:rPr>
        <w:t>座版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685A9C" w14:paraId="41007357" w14:textId="77777777" w:rsidTr="00313114">
        <w:trPr>
          <w:tblCellSpacing w:w="15" w:type="dxa"/>
        </w:trPr>
        <w:tc>
          <w:tcPr>
            <w:tcW w:w="0" w:type="auto"/>
            <w:tcBorders>
              <w:top w:val="nil"/>
              <w:left w:val="nil"/>
              <w:bottom w:val="nil"/>
              <w:right w:val="nil"/>
            </w:tcBorders>
            <w:hideMark/>
          </w:tcPr>
          <w:p w14:paraId="23B97BB0" w14:textId="77777777" w:rsidR="00B528E4" w:rsidRPr="00685A9C"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1DCACE1B" w14:textId="77777777" w:rsidR="00B528E4" w:rsidRPr="00685A9C" w:rsidRDefault="00B528E4" w:rsidP="00313114">
            <w:pPr>
              <w:widowControl/>
              <w:jc w:val="left"/>
              <w:rPr>
                <w:rFonts w:ascii="微软雅黑" w:eastAsia="微软雅黑" w:hAnsi="微软雅黑" w:cs="宋体"/>
                <w:color w:val="000000"/>
                <w:kern w:val="0"/>
                <w:sz w:val="27"/>
                <w:szCs w:val="27"/>
              </w:rPr>
            </w:pPr>
            <w:r w:rsidRPr="00685A9C">
              <w:rPr>
                <w:rFonts w:ascii="微软雅黑" w:eastAsia="微软雅黑" w:hAnsi="微软雅黑" w:cs="宋体"/>
                <w:noProof/>
                <w:color w:val="000000"/>
                <w:kern w:val="0"/>
                <w:sz w:val="27"/>
                <w:szCs w:val="27"/>
              </w:rPr>
              <w:drawing>
                <wp:inline distT="0" distB="0" distL="0" distR="0" wp14:anchorId="24F5E647" wp14:editId="6B43DBD6">
                  <wp:extent cx="1800000" cy="1034237"/>
                  <wp:effectExtent l="0" t="0" r="0" b="0"/>
                  <wp:docPr id="35" name="图片 35" descr="http://58.246.65.10:8231/UploadFile/20211115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11150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1034237"/>
                          </a:xfrm>
                          <a:prstGeom prst="rect">
                            <a:avLst/>
                          </a:prstGeom>
                          <a:noFill/>
                          <a:ln>
                            <a:noFill/>
                          </a:ln>
                        </pic:spPr>
                      </pic:pic>
                    </a:graphicData>
                  </a:graphic>
                </wp:inline>
              </w:drawing>
            </w:r>
          </w:p>
        </w:tc>
        <w:tc>
          <w:tcPr>
            <w:tcW w:w="0" w:type="auto"/>
            <w:tcBorders>
              <w:top w:val="nil"/>
              <w:left w:val="nil"/>
              <w:bottom w:val="nil"/>
              <w:right w:val="nil"/>
            </w:tcBorders>
            <w:hideMark/>
          </w:tcPr>
          <w:p w14:paraId="0851B103" w14:textId="77777777" w:rsidR="00B528E4" w:rsidRPr="00685A9C" w:rsidRDefault="00B528E4" w:rsidP="00313114">
            <w:pPr>
              <w:widowControl/>
              <w:jc w:val="left"/>
              <w:rPr>
                <w:rFonts w:ascii="微软雅黑" w:eastAsia="微软雅黑" w:hAnsi="微软雅黑" w:cs="宋体"/>
                <w:color w:val="000000"/>
                <w:kern w:val="0"/>
                <w:sz w:val="27"/>
                <w:szCs w:val="27"/>
              </w:rPr>
            </w:pPr>
          </w:p>
        </w:tc>
      </w:tr>
    </w:tbl>
    <w:p w14:paraId="4955B3BC" w14:textId="77777777" w:rsidR="00B528E4" w:rsidRDefault="00B528E4" w:rsidP="00B528E4">
      <w:r>
        <w:t>11月13日，YOUNG光小新5座版上市，新车共推3款，补贴后售价区间为5.98万-8.18万元，享受国补1.54万元。</w:t>
      </w:r>
    </w:p>
    <w:p w14:paraId="77DD190C" w14:textId="77777777" w:rsidR="00B528E4" w:rsidRDefault="00B528E4" w:rsidP="00B528E4">
      <w:r>
        <w:rPr>
          <w:rFonts w:hint="eastAsia"/>
        </w:rPr>
        <w:t>外观方面，新车与现款车型基本保持一致。</w:t>
      </w:r>
    </w:p>
    <w:p w14:paraId="7816D4D2" w14:textId="77777777" w:rsidR="00B528E4" w:rsidRDefault="00B528E4" w:rsidP="00B528E4">
      <w:r>
        <w:rPr>
          <w:rFonts w:hint="eastAsia"/>
        </w:rPr>
        <w:t>内饰方面，新车采用五座布局。</w:t>
      </w:r>
    </w:p>
    <w:p w14:paraId="1EEF790C" w14:textId="77777777" w:rsidR="00B528E4" w:rsidRDefault="00B528E4" w:rsidP="00B528E4">
      <w:r>
        <w:rPr>
          <w:rFonts w:hint="eastAsia"/>
        </w:rPr>
        <w:t>动力方面，新车搭载纯电动机，</w:t>
      </w:r>
      <w:r>
        <w:t>NEDC综合续航里程达402km。</w:t>
      </w:r>
    </w:p>
    <w:p w14:paraId="40E7E4DD" w14:textId="77777777" w:rsidR="00C22FFE" w:rsidRPr="002C6735" w:rsidRDefault="00C22FFE" w:rsidP="00C22FFE">
      <w:pPr>
        <w:pStyle w:val="a8"/>
        <w:numPr>
          <w:ilvl w:val="0"/>
          <w:numId w:val="6"/>
        </w:numPr>
        <w:ind w:firstLineChars="0"/>
        <w:outlineLvl w:val="1"/>
        <w:rPr>
          <w:b/>
        </w:rPr>
      </w:pPr>
      <w:r w:rsidRPr="002C6735">
        <w:rPr>
          <w:b/>
        </w:rPr>
        <w:t>摩登汽车Modernin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22FFE" w:rsidRPr="00685A9C" w14:paraId="2E90812F" w14:textId="77777777" w:rsidTr="000F7982">
        <w:trPr>
          <w:tblCellSpacing w:w="15" w:type="dxa"/>
        </w:trPr>
        <w:tc>
          <w:tcPr>
            <w:tcW w:w="0" w:type="auto"/>
            <w:tcBorders>
              <w:top w:val="nil"/>
              <w:left w:val="nil"/>
              <w:bottom w:val="nil"/>
              <w:right w:val="nil"/>
            </w:tcBorders>
            <w:hideMark/>
          </w:tcPr>
          <w:p w14:paraId="1B43DB43" w14:textId="77777777" w:rsidR="00C22FFE" w:rsidRPr="00685A9C" w:rsidRDefault="00C22FFE" w:rsidP="000F7982">
            <w:pPr>
              <w:widowControl/>
              <w:jc w:val="left"/>
              <w:rPr>
                <w:rFonts w:ascii="宋体" w:eastAsia="宋体" w:hAnsi="宋体" w:cs="宋体"/>
                <w:kern w:val="0"/>
                <w:sz w:val="24"/>
              </w:rPr>
            </w:pPr>
          </w:p>
        </w:tc>
        <w:tc>
          <w:tcPr>
            <w:tcW w:w="0" w:type="auto"/>
            <w:tcBorders>
              <w:top w:val="nil"/>
              <w:left w:val="nil"/>
              <w:bottom w:val="nil"/>
              <w:right w:val="nil"/>
            </w:tcBorders>
            <w:hideMark/>
          </w:tcPr>
          <w:p w14:paraId="153F5F2D" w14:textId="77777777" w:rsidR="00C22FFE" w:rsidRPr="00685A9C" w:rsidRDefault="00C22FFE" w:rsidP="000F7982">
            <w:pPr>
              <w:widowControl/>
              <w:jc w:val="left"/>
              <w:rPr>
                <w:rFonts w:ascii="微软雅黑" w:eastAsia="微软雅黑" w:hAnsi="微软雅黑" w:cs="宋体"/>
                <w:color w:val="000000"/>
                <w:kern w:val="0"/>
                <w:sz w:val="27"/>
                <w:szCs w:val="27"/>
              </w:rPr>
            </w:pPr>
            <w:r w:rsidRPr="00685A9C">
              <w:rPr>
                <w:rFonts w:ascii="微软雅黑" w:eastAsia="微软雅黑" w:hAnsi="微软雅黑" w:cs="宋体"/>
                <w:noProof/>
                <w:color w:val="000000"/>
                <w:kern w:val="0"/>
                <w:sz w:val="27"/>
                <w:szCs w:val="27"/>
              </w:rPr>
              <w:drawing>
                <wp:inline distT="0" distB="0" distL="0" distR="0" wp14:anchorId="083B586A" wp14:editId="5EEFCDF9">
                  <wp:extent cx="1800000" cy="1016667"/>
                  <wp:effectExtent l="0" t="0" r="0" b="0"/>
                  <wp:docPr id="1" name="图片 1" descr="http://58.246.65.10:8231/UploadFile/202111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1150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016667"/>
                          </a:xfrm>
                          <a:prstGeom prst="rect">
                            <a:avLst/>
                          </a:prstGeom>
                          <a:noFill/>
                          <a:ln>
                            <a:noFill/>
                          </a:ln>
                        </pic:spPr>
                      </pic:pic>
                    </a:graphicData>
                  </a:graphic>
                </wp:inline>
              </w:drawing>
            </w:r>
          </w:p>
        </w:tc>
        <w:tc>
          <w:tcPr>
            <w:tcW w:w="0" w:type="auto"/>
            <w:tcBorders>
              <w:top w:val="nil"/>
              <w:left w:val="nil"/>
              <w:bottom w:val="nil"/>
              <w:right w:val="nil"/>
            </w:tcBorders>
            <w:hideMark/>
          </w:tcPr>
          <w:p w14:paraId="3B32FFEA" w14:textId="77777777" w:rsidR="00C22FFE" w:rsidRPr="00685A9C" w:rsidRDefault="00C22FFE" w:rsidP="000F7982">
            <w:pPr>
              <w:widowControl/>
              <w:jc w:val="left"/>
              <w:rPr>
                <w:rFonts w:ascii="微软雅黑" w:eastAsia="微软雅黑" w:hAnsi="微软雅黑" w:cs="宋体"/>
                <w:color w:val="000000"/>
                <w:kern w:val="0"/>
                <w:sz w:val="27"/>
                <w:szCs w:val="27"/>
              </w:rPr>
            </w:pPr>
          </w:p>
        </w:tc>
      </w:tr>
    </w:tbl>
    <w:p w14:paraId="78B8C55B" w14:textId="77777777" w:rsidR="00C22FFE" w:rsidRDefault="00C22FFE" w:rsidP="00C22FFE">
      <w:r>
        <w:t>11月12日，</w:t>
      </w:r>
      <w:r w:rsidRPr="000578B5">
        <w:rPr>
          <w:rFonts w:hint="eastAsia"/>
        </w:rPr>
        <w:t>由北京汽车制造厂代工</w:t>
      </w:r>
      <w:r>
        <w:rPr>
          <w:rFonts w:hint="eastAsia"/>
        </w:rPr>
        <w:t>的</w:t>
      </w:r>
      <w:r>
        <w:t>摩登汽车Modernin上市，新车共推3款，补贴后售价区间为12.58万-16.58万元，享受国补1.8万元。</w:t>
      </w:r>
    </w:p>
    <w:p w14:paraId="637839BB" w14:textId="77777777" w:rsidR="00C22FFE" w:rsidRDefault="00C22FFE" w:rsidP="00C22FFE">
      <w:r>
        <w:rPr>
          <w:rFonts w:hint="eastAsia"/>
        </w:rPr>
        <w:t>外观方面，新车采用封闭式格栅、</w:t>
      </w:r>
      <w:r>
        <w:t>M型贯穿灯组。</w:t>
      </w:r>
    </w:p>
    <w:p w14:paraId="164B9693" w14:textId="77777777" w:rsidR="00C22FFE" w:rsidRDefault="00C22FFE" w:rsidP="00C22FFE">
      <w:r>
        <w:rPr>
          <w:rFonts w:hint="eastAsia"/>
        </w:rPr>
        <w:t>内饰方面，新车采用液晶仪表盘、大尺寸中控液晶屏、副驾驶前方液晶屏。</w:t>
      </w:r>
    </w:p>
    <w:p w14:paraId="6CDC3E7F" w14:textId="77777777" w:rsidR="00C22FFE" w:rsidRDefault="00C22FFE" w:rsidP="00C22FFE">
      <w:r>
        <w:rPr>
          <w:rFonts w:hint="eastAsia"/>
        </w:rPr>
        <w:t>动力方面，新车搭载纯电动机，</w:t>
      </w:r>
      <w:r>
        <w:t>NEDC综合续航里程达420km，610km。</w:t>
      </w:r>
    </w:p>
    <w:p w14:paraId="71F7E4D8" w14:textId="77777777" w:rsidR="00B528E4" w:rsidRDefault="00B528E4" w:rsidP="00B528E4">
      <w:pPr>
        <w:pStyle w:val="a8"/>
        <w:numPr>
          <w:ilvl w:val="0"/>
          <w:numId w:val="6"/>
        </w:numPr>
        <w:ind w:firstLineChars="0"/>
        <w:outlineLvl w:val="1"/>
      </w:pPr>
      <w:r w:rsidRPr="00B2624E">
        <w:rPr>
          <w:b/>
        </w:rPr>
        <w:t>WEY玛奇朵DHT-PHEV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757D74" w14:paraId="607F22F3" w14:textId="77777777" w:rsidTr="00313114">
        <w:trPr>
          <w:tblCellSpacing w:w="15" w:type="dxa"/>
        </w:trPr>
        <w:tc>
          <w:tcPr>
            <w:tcW w:w="0" w:type="auto"/>
            <w:tcBorders>
              <w:top w:val="nil"/>
              <w:left w:val="nil"/>
              <w:bottom w:val="nil"/>
              <w:right w:val="nil"/>
            </w:tcBorders>
            <w:hideMark/>
          </w:tcPr>
          <w:p w14:paraId="4E131D51" w14:textId="77777777" w:rsidR="00B528E4" w:rsidRPr="00757D74"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4E58872A" w14:textId="77777777" w:rsidR="00B528E4" w:rsidRPr="00757D74" w:rsidRDefault="00B528E4" w:rsidP="00313114">
            <w:pPr>
              <w:widowControl/>
              <w:jc w:val="left"/>
              <w:rPr>
                <w:rFonts w:ascii="微软雅黑" w:eastAsia="微软雅黑" w:hAnsi="微软雅黑" w:cs="宋体"/>
                <w:color w:val="000000"/>
                <w:kern w:val="0"/>
                <w:sz w:val="27"/>
                <w:szCs w:val="27"/>
              </w:rPr>
            </w:pPr>
            <w:r w:rsidRPr="00757D74">
              <w:rPr>
                <w:rFonts w:ascii="微软雅黑" w:eastAsia="微软雅黑" w:hAnsi="微软雅黑" w:cs="宋体"/>
                <w:noProof/>
                <w:color w:val="000000"/>
                <w:kern w:val="0"/>
                <w:sz w:val="27"/>
                <w:szCs w:val="27"/>
              </w:rPr>
              <w:drawing>
                <wp:inline distT="0" distB="0" distL="0" distR="0" wp14:anchorId="6A1CE4E4" wp14:editId="7B6C3919">
                  <wp:extent cx="1800000" cy="984000"/>
                  <wp:effectExtent l="0" t="0" r="0" b="6985"/>
                  <wp:docPr id="17" name="图片 17" descr="http://58.246.65.10:8231/UploadFile/202111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11118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84000"/>
                          </a:xfrm>
                          <a:prstGeom prst="rect">
                            <a:avLst/>
                          </a:prstGeom>
                          <a:noFill/>
                          <a:ln>
                            <a:noFill/>
                          </a:ln>
                        </pic:spPr>
                      </pic:pic>
                    </a:graphicData>
                  </a:graphic>
                </wp:inline>
              </w:drawing>
            </w:r>
          </w:p>
        </w:tc>
        <w:tc>
          <w:tcPr>
            <w:tcW w:w="0" w:type="auto"/>
            <w:tcBorders>
              <w:top w:val="nil"/>
              <w:left w:val="nil"/>
              <w:bottom w:val="nil"/>
              <w:right w:val="nil"/>
            </w:tcBorders>
            <w:hideMark/>
          </w:tcPr>
          <w:p w14:paraId="35462ED3" w14:textId="77777777" w:rsidR="00B528E4" w:rsidRPr="00757D74" w:rsidRDefault="00B528E4" w:rsidP="00313114">
            <w:pPr>
              <w:widowControl/>
              <w:jc w:val="left"/>
              <w:rPr>
                <w:rFonts w:ascii="微软雅黑" w:eastAsia="微软雅黑" w:hAnsi="微软雅黑" w:cs="宋体"/>
                <w:color w:val="000000"/>
                <w:kern w:val="0"/>
                <w:sz w:val="27"/>
                <w:szCs w:val="27"/>
              </w:rPr>
            </w:pPr>
          </w:p>
        </w:tc>
      </w:tr>
    </w:tbl>
    <w:p w14:paraId="086CBD5D" w14:textId="77777777" w:rsidR="00B528E4" w:rsidRDefault="00B528E4" w:rsidP="00B528E4">
      <w:r>
        <w:t>11月17日，WEY玛奇朵DHT-PHEV上市，新车共推2款，售价区间为16.68万-17.78万元。</w:t>
      </w:r>
    </w:p>
    <w:p w14:paraId="4EA960A4" w14:textId="77777777" w:rsidR="00B528E4" w:rsidRDefault="00B528E4" w:rsidP="00B528E4">
      <w:r>
        <w:rPr>
          <w:rFonts w:hint="eastAsia"/>
        </w:rPr>
        <w:t>外观方面，新车与</w:t>
      </w:r>
      <w:r>
        <w:t>HEV车型基本保持一致。</w:t>
      </w:r>
    </w:p>
    <w:p w14:paraId="52ED54D6" w14:textId="77777777" w:rsidR="00B528E4" w:rsidRDefault="00B528E4" w:rsidP="00B528E4">
      <w:r>
        <w:rPr>
          <w:rFonts w:hint="eastAsia"/>
        </w:rPr>
        <w:t>内饰方面，新车采用</w:t>
      </w:r>
      <w:r>
        <w:t>9.2英寸彩色液晶仪表、14.6英寸多媒体触摸显示屏。</w:t>
      </w:r>
    </w:p>
    <w:p w14:paraId="75DC66BD" w14:textId="77777777" w:rsidR="00B528E4" w:rsidRDefault="00B528E4" w:rsidP="00B528E4">
      <w:r>
        <w:rPr>
          <w:rFonts w:hint="eastAsia"/>
        </w:rPr>
        <w:t>配置方面，新车配备</w:t>
      </w:r>
      <w:r>
        <w:t>ACC全速域自适应巡航、W-HUD投影式数字抬头显示等。</w:t>
      </w:r>
    </w:p>
    <w:p w14:paraId="235E4810" w14:textId="77777777" w:rsidR="00B528E4" w:rsidRDefault="00B528E4" w:rsidP="00B528E4">
      <w:r>
        <w:rPr>
          <w:rFonts w:hint="eastAsia"/>
        </w:rPr>
        <w:t>动力方面，新车搭载由</w:t>
      </w:r>
      <w:r>
        <w:t>1.5L发动机和电动机组成的插电混动系统，匹配DHT变速箱。</w:t>
      </w:r>
    </w:p>
    <w:p w14:paraId="72FF5AC3" w14:textId="77777777" w:rsidR="00B528E4" w:rsidRDefault="00B528E4" w:rsidP="00B528E4">
      <w:pPr>
        <w:rPr>
          <w:rFonts w:cs="宋体"/>
          <w:b/>
          <w:bCs/>
          <w:i/>
          <w:iCs/>
        </w:rPr>
      </w:pPr>
      <w:r w:rsidRPr="007654C2">
        <w:rPr>
          <w:rFonts w:cs="宋体" w:hint="eastAsia"/>
          <w:b/>
          <w:bCs/>
          <w:i/>
          <w:iCs/>
        </w:rPr>
        <w:t>分析：。</w:t>
      </w:r>
    </w:p>
    <w:p w14:paraId="1B93B9DF" w14:textId="77777777" w:rsidR="00B528E4" w:rsidRPr="002A4FE7" w:rsidRDefault="00B528E4" w:rsidP="00B528E4">
      <w:pPr>
        <w:pStyle w:val="a8"/>
        <w:numPr>
          <w:ilvl w:val="0"/>
          <w:numId w:val="6"/>
        </w:numPr>
        <w:ind w:firstLineChars="0"/>
        <w:outlineLvl w:val="1"/>
        <w:rPr>
          <w:b/>
        </w:rPr>
      </w:pPr>
      <w:r w:rsidRPr="002A4FE7">
        <w:rPr>
          <w:b/>
        </w:rPr>
        <w:t>长安福特EVOS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F4541D" w14:paraId="6DF13C28" w14:textId="77777777" w:rsidTr="00313114">
        <w:trPr>
          <w:tblCellSpacing w:w="15" w:type="dxa"/>
        </w:trPr>
        <w:tc>
          <w:tcPr>
            <w:tcW w:w="0" w:type="auto"/>
            <w:tcBorders>
              <w:top w:val="nil"/>
              <w:left w:val="nil"/>
              <w:bottom w:val="nil"/>
              <w:right w:val="nil"/>
            </w:tcBorders>
            <w:hideMark/>
          </w:tcPr>
          <w:p w14:paraId="0D4E5C08" w14:textId="77777777" w:rsidR="00B528E4" w:rsidRPr="00F4541D"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122D6558" w14:textId="77777777" w:rsidR="00B528E4" w:rsidRPr="00F4541D" w:rsidRDefault="00B528E4" w:rsidP="00313114">
            <w:pPr>
              <w:widowControl/>
              <w:jc w:val="left"/>
              <w:rPr>
                <w:rFonts w:ascii="微软雅黑" w:eastAsia="微软雅黑" w:hAnsi="微软雅黑" w:cs="宋体"/>
                <w:color w:val="000000"/>
                <w:kern w:val="0"/>
                <w:sz w:val="27"/>
                <w:szCs w:val="27"/>
              </w:rPr>
            </w:pPr>
            <w:r w:rsidRPr="00F4541D">
              <w:rPr>
                <w:rFonts w:ascii="微软雅黑" w:eastAsia="微软雅黑" w:hAnsi="微软雅黑" w:cs="宋体"/>
                <w:noProof/>
                <w:color w:val="000000"/>
                <w:kern w:val="0"/>
                <w:sz w:val="27"/>
                <w:szCs w:val="27"/>
              </w:rPr>
              <w:drawing>
                <wp:inline distT="0" distB="0" distL="0" distR="0" wp14:anchorId="519AFFDC" wp14:editId="6D35B1BD">
                  <wp:extent cx="1800000" cy="965121"/>
                  <wp:effectExtent l="0" t="0" r="0" b="6985"/>
                  <wp:docPr id="20" name="图片 20" descr="http://58.246.65.10:8231/UploadFile/2021111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8.246.65.10:8231/UploadFile/202111190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65121"/>
                          </a:xfrm>
                          <a:prstGeom prst="rect">
                            <a:avLst/>
                          </a:prstGeom>
                          <a:noFill/>
                          <a:ln>
                            <a:noFill/>
                          </a:ln>
                        </pic:spPr>
                      </pic:pic>
                    </a:graphicData>
                  </a:graphic>
                </wp:inline>
              </w:drawing>
            </w:r>
          </w:p>
        </w:tc>
        <w:tc>
          <w:tcPr>
            <w:tcW w:w="0" w:type="auto"/>
            <w:tcBorders>
              <w:top w:val="nil"/>
              <w:left w:val="nil"/>
              <w:bottom w:val="nil"/>
              <w:right w:val="nil"/>
            </w:tcBorders>
            <w:hideMark/>
          </w:tcPr>
          <w:p w14:paraId="72958A8D" w14:textId="77777777" w:rsidR="00B528E4" w:rsidRPr="00F4541D" w:rsidRDefault="00B528E4" w:rsidP="00313114">
            <w:pPr>
              <w:widowControl/>
              <w:jc w:val="left"/>
              <w:rPr>
                <w:rFonts w:ascii="微软雅黑" w:eastAsia="微软雅黑" w:hAnsi="微软雅黑" w:cs="宋体"/>
                <w:color w:val="000000"/>
                <w:kern w:val="0"/>
                <w:sz w:val="27"/>
                <w:szCs w:val="27"/>
              </w:rPr>
            </w:pPr>
          </w:p>
        </w:tc>
      </w:tr>
    </w:tbl>
    <w:p w14:paraId="5A9DAAF6" w14:textId="77777777" w:rsidR="00B528E4" w:rsidRDefault="00B528E4" w:rsidP="00B528E4">
      <w:r>
        <w:t>11月19日，长安福特EVOS上市，新车共推5款，售价区间为19.98万-25.98万元。</w:t>
      </w:r>
    </w:p>
    <w:p w14:paraId="6DB496E0" w14:textId="77777777" w:rsidR="00B528E4" w:rsidRDefault="00B528E4" w:rsidP="00B528E4">
      <w:r>
        <w:rPr>
          <w:rFonts w:hint="eastAsia"/>
        </w:rPr>
        <w:t>外观方面，新车采用分体式大灯、隐藏式门把手、贯穿式</w:t>
      </w:r>
      <w:r>
        <w:t>LED尾灯。</w:t>
      </w:r>
    </w:p>
    <w:p w14:paraId="440D04B6" w14:textId="77777777" w:rsidR="00B528E4" w:rsidRDefault="00B528E4" w:rsidP="00B528E4">
      <w:r>
        <w:rPr>
          <w:rFonts w:hint="eastAsia"/>
        </w:rPr>
        <w:t>内饰方面，新车采用</w:t>
      </w:r>
      <w:r>
        <w:t>1.1米巨幅连屏。</w:t>
      </w:r>
    </w:p>
    <w:p w14:paraId="427AA557" w14:textId="77777777" w:rsidR="00B528E4" w:rsidRDefault="00B528E4" w:rsidP="00B528E4">
      <w:r>
        <w:rPr>
          <w:rFonts w:hint="eastAsia"/>
        </w:rPr>
        <w:t>配置方面，新车配备</w:t>
      </w:r>
      <w:r>
        <w:t>SYNC+2.0智行互联系统、高通骁龙820A车规处理器。</w:t>
      </w:r>
    </w:p>
    <w:p w14:paraId="7625D1AB" w14:textId="77777777" w:rsidR="00B528E4" w:rsidRDefault="00B528E4" w:rsidP="00B528E4">
      <w:r>
        <w:rPr>
          <w:rFonts w:hint="eastAsia"/>
        </w:rPr>
        <w:t>动力方面，新车搭载</w:t>
      </w:r>
      <w:r>
        <w:t>2.0T发动机，匹配8TIP变速箱。</w:t>
      </w:r>
    </w:p>
    <w:p w14:paraId="52413680" w14:textId="77777777" w:rsidR="00B528E4" w:rsidRPr="002A4FE7" w:rsidRDefault="00B528E4" w:rsidP="00B528E4">
      <w:pPr>
        <w:pStyle w:val="a8"/>
        <w:numPr>
          <w:ilvl w:val="0"/>
          <w:numId w:val="6"/>
        </w:numPr>
        <w:ind w:firstLineChars="0"/>
        <w:outlineLvl w:val="1"/>
        <w:rPr>
          <w:b/>
        </w:rPr>
      </w:pPr>
      <w:r w:rsidRPr="002A4FE7">
        <w:rPr>
          <w:b/>
        </w:rPr>
        <w:t>凌放HARRIER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528E4" w:rsidRPr="00F4541D" w14:paraId="65FC7908" w14:textId="77777777" w:rsidTr="00313114">
        <w:trPr>
          <w:tblCellSpacing w:w="15" w:type="dxa"/>
        </w:trPr>
        <w:tc>
          <w:tcPr>
            <w:tcW w:w="0" w:type="auto"/>
            <w:tcBorders>
              <w:top w:val="nil"/>
              <w:left w:val="nil"/>
              <w:bottom w:val="nil"/>
              <w:right w:val="nil"/>
            </w:tcBorders>
            <w:hideMark/>
          </w:tcPr>
          <w:p w14:paraId="2AD4BA32" w14:textId="77777777" w:rsidR="00B528E4" w:rsidRPr="00F4541D" w:rsidRDefault="00B528E4" w:rsidP="00313114">
            <w:pPr>
              <w:widowControl/>
              <w:jc w:val="left"/>
              <w:rPr>
                <w:rFonts w:ascii="宋体" w:eastAsia="宋体" w:hAnsi="宋体" w:cs="宋体"/>
                <w:kern w:val="0"/>
                <w:sz w:val="24"/>
              </w:rPr>
            </w:pPr>
          </w:p>
        </w:tc>
        <w:tc>
          <w:tcPr>
            <w:tcW w:w="0" w:type="auto"/>
            <w:tcBorders>
              <w:top w:val="nil"/>
              <w:left w:val="nil"/>
              <w:bottom w:val="nil"/>
              <w:right w:val="nil"/>
            </w:tcBorders>
            <w:hideMark/>
          </w:tcPr>
          <w:p w14:paraId="3DF7E702" w14:textId="77777777" w:rsidR="00B528E4" w:rsidRPr="00F4541D" w:rsidRDefault="00B528E4" w:rsidP="00313114">
            <w:pPr>
              <w:widowControl/>
              <w:jc w:val="left"/>
              <w:rPr>
                <w:rFonts w:ascii="微软雅黑" w:eastAsia="微软雅黑" w:hAnsi="微软雅黑" w:cs="宋体"/>
                <w:color w:val="000000"/>
                <w:kern w:val="0"/>
                <w:sz w:val="27"/>
                <w:szCs w:val="27"/>
              </w:rPr>
            </w:pPr>
            <w:r w:rsidRPr="00F4541D">
              <w:rPr>
                <w:rFonts w:ascii="微软雅黑" w:eastAsia="微软雅黑" w:hAnsi="微软雅黑" w:cs="宋体"/>
                <w:noProof/>
                <w:color w:val="000000"/>
                <w:kern w:val="0"/>
                <w:sz w:val="27"/>
                <w:szCs w:val="27"/>
              </w:rPr>
              <w:drawing>
                <wp:inline distT="0" distB="0" distL="0" distR="0" wp14:anchorId="0D060945" wp14:editId="21704738">
                  <wp:extent cx="1800000" cy="971429"/>
                  <wp:effectExtent l="0" t="0" r="0" b="635"/>
                  <wp:docPr id="19" name="图片 19" descr="http://58.246.65.10:8231/UploadFile/2021111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58.246.65.10:8231/UploadFile/202111190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71429"/>
                          </a:xfrm>
                          <a:prstGeom prst="rect">
                            <a:avLst/>
                          </a:prstGeom>
                          <a:noFill/>
                          <a:ln>
                            <a:noFill/>
                          </a:ln>
                        </pic:spPr>
                      </pic:pic>
                    </a:graphicData>
                  </a:graphic>
                </wp:inline>
              </w:drawing>
            </w:r>
          </w:p>
        </w:tc>
        <w:tc>
          <w:tcPr>
            <w:tcW w:w="0" w:type="auto"/>
            <w:tcBorders>
              <w:top w:val="nil"/>
              <w:left w:val="nil"/>
              <w:bottom w:val="nil"/>
              <w:right w:val="nil"/>
            </w:tcBorders>
            <w:hideMark/>
          </w:tcPr>
          <w:p w14:paraId="6A65FF35" w14:textId="77777777" w:rsidR="00B528E4" w:rsidRPr="00F4541D" w:rsidRDefault="00B528E4" w:rsidP="00313114">
            <w:pPr>
              <w:widowControl/>
              <w:jc w:val="left"/>
              <w:rPr>
                <w:rFonts w:ascii="微软雅黑" w:eastAsia="微软雅黑" w:hAnsi="微软雅黑" w:cs="宋体"/>
                <w:color w:val="000000"/>
                <w:kern w:val="0"/>
                <w:sz w:val="27"/>
                <w:szCs w:val="27"/>
              </w:rPr>
            </w:pPr>
          </w:p>
        </w:tc>
      </w:tr>
    </w:tbl>
    <w:p w14:paraId="21BC0D83" w14:textId="77777777" w:rsidR="00B528E4" w:rsidRDefault="00B528E4" w:rsidP="00B528E4">
      <w:r>
        <w:t>11月18日，凌放HARRIER上市，新车共推7款，售价区间为21.18万-29.78万元。</w:t>
      </w:r>
    </w:p>
    <w:p w14:paraId="465F19C1" w14:textId="77777777" w:rsidR="00B528E4" w:rsidRDefault="00B528E4" w:rsidP="00B528E4">
      <w:r>
        <w:rPr>
          <w:rFonts w:hint="eastAsia"/>
        </w:rPr>
        <w:t>外观方面，新车采用梯形大尺寸散热开口、双层格栅、贯穿式</w:t>
      </w:r>
      <w:r>
        <w:t>LED灯组。</w:t>
      </w:r>
    </w:p>
    <w:p w14:paraId="496BDFAC" w14:textId="77777777" w:rsidR="00B528E4" w:rsidRDefault="00B528E4" w:rsidP="00B528E4">
      <w:r>
        <w:rPr>
          <w:rFonts w:hint="eastAsia"/>
        </w:rPr>
        <w:t>内饰方面，新车采用全液晶显示屏、悬浮式多媒体触摸屏。</w:t>
      </w:r>
    </w:p>
    <w:p w14:paraId="4A70AC2A" w14:textId="77777777" w:rsidR="00B528E4" w:rsidRDefault="00B528E4" w:rsidP="00B528E4">
      <w:r>
        <w:rPr>
          <w:rFonts w:hint="eastAsia"/>
        </w:rPr>
        <w:t>配置方面，新车配备全景天窗、车道偏离辅助、道路标识识别、盲点监控等。</w:t>
      </w:r>
    </w:p>
    <w:p w14:paraId="5F89A990" w14:textId="6B68FED7" w:rsidR="00B528E4" w:rsidRDefault="00B528E4" w:rsidP="00B528E4">
      <w:r>
        <w:rPr>
          <w:rFonts w:hint="eastAsia"/>
        </w:rPr>
        <w:t>动力方面，新车搭载</w:t>
      </w:r>
      <w:r>
        <w:t>2.0L，2.5L发动机，匹配CVT，E-CVT变速箱。</w:t>
      </w:r>
    </w:p>
    <w:p w14:paraId="36057398" w14:textId="77777777" w:rsidR="00E40E5D" w:rsidRDefault="00E40E5D" w:rsidP="00B528E4"/>
    <w:p w14:paraId="2696F752" w14:textId="77777777" w:rsidR="00B528E4" w:rsidRPr="00DA5660" w:rsidRDefault="00B528E4" w:rsidP="00B528E4">
      <w:pPr>
        <w:pStyle w:val="a8"/>
        <w:numPr>
          <w:ilvl w:val="0"/>
          <w:numId w:val="14"/>
        </w:numPr>
        <w:ind w:firstLineChars="0"/>
        <w:outlineLvl w:val="0"/>
        <w:rPr>
          <w:b/>
        </w:rPr>
      </w:pPr>
      <w:r w:rsidRPr="00C97499">
        <w:rPr>
          <w:rFonts w:cs="宋体" w:hint="eastAsia"/>
          <w:b/>
          <w:bCs/>
        </w:rPr>
        <w:t>宏观经济与政策</w:t>
      </w:r>
    </w:p>
    <w:p w14:paraId="6D090B30" w14:textId="77777777" w:rsidR="00B528E4" w:rsidRPr="0010651C" w:rsidRDefault="00B528E4" w:rsidP="00B528E4">
      <w:pPr>
        <w:pStyle w:val="a8"/>
        <w:numPr>
          <w:ilvl w:val="0"/>
          <w:numId w:val="15"/>
        </w:numPr>
        <w:ind w:firstLineChars="0"/>
        <w:outlineLvl w:val="1"/>
        <w:rPr>
          <w:b/>
        </w:rPr>
      </w:pPr>
      <w:r w:rsidRPr="0010651C">
        <w:rPr>
          <w:rFonts w:hint="eastAsia"/>
          <w:b/>
        </w:rPr>
        <w:t>统计局：</w:t>
      </w:r>
      <w:r w:rsidRPr="0010651C">
        <w:rPr>
          <w:b/>
        </w:rPr>
        <w:t>10月份规模以上工业增加值增长3.5%</w:t>
      </w:r>
    </w:p>
    <w:p w14:paraId="0EFF26E7" w14:textId="77777777" w:rsidR="00B528E4" w:rsidRDefault="00B528E4" w:rsidP="00B528E4">
      <w:r>
        <w:t>10月份，规模以上工业增加值环比增长0.39%，同比实际增长3.5%，比2019年同期增长10.6%，两年平均增长5.2%。1-10月份，规模以上工业增加值同比增长10.9%，两年平均增长6.3%。</w:t>
      </w:r>
    </w:p>
    <w:p w14:paraId="4116390C" w14:textId="5E68A315" w:rsidR="000578B5" w:rsidRPr="00E40E5D" w:rsidRDefault="00E40E5D" w:rsidP="00E40E5D">
      <w:pPr>
        <w:outlineLvl w:val="1"/>
        <w:rPr>
          <w:b/>
        </w:rPr>
      </w:pPr>
      <w:r>
        <w:rPr>
          <w:rFonts w:hint="eastAsia"/>
          <w:b/>
        </w:rPr>
        <w:t>2</w:t>
      </w:r>
      <w:r>
        <w:rPr>
          <w:b/>
        </w:rPr>
        <w:t>.</w:t>
      </w:r>
      <w:r w:rsidR="000578B5" w:rsidRPr="00E40E5D">
        <w:rPr>
          <w:rFonts w:hint="eastAsia"/>
          <w:b/>
        </w:rPr>
        <w:t>彻底解决充电难问题</w:t>
      </w:r>
      <w:r w:rsidR="000578B5" w:rsidRPr="00E40E5D">
        <w:rPr>
          <w:b/>
        </w:rPr>
        <w:t>甘肃最新建设计划</w:t>
      </w:r>
    </w:p>
    <w:p w14:paraId="0C976099" w14:textId="77777777" w:rsidR="000578B5" w:rsidRDefault="000578B5" w:rsidP="000578B5">
      <w:r>
        <w:rPr>
          <w:rFonts w:hint="eastAsia"/>
        </w:rPr>
        <w:t>国网甘肃综合能源服务有限公司与甘肃省高速公路服务有限公司签订充电站建设合作协议，计划于</w:t>
      </w:r>
      <w:r>
        <w:t>2022年底前建成甘肃高速公路充电网络，彻底解决省内高速新能源汽车充电难问题。</w:t>
      </w:r>
    </w:p>
    <w:p w14:paraId="26617BE4" w14:textId="77777777" w:rsidR="000578B5" w:rsidRDefault="000578B5" w:rsidP="000578B5">
      <w:r>
        <w:rPr>
          <w:rFonts w:hint="eastAsia"/>
        </w:rPr>
        <w:t>协议明确，双方将以“碳达峰、碳中和”战略目标为指引，高效推进甘肃高速公路新能源汽车充电基础设施，在省内</w:t>
      </w:r>
      <w:r>
        <w:t>21个高速公路服务区建成34座快速充电站，打通G30连霍高速、G22青兰高速、G75兰海高速等主要高速公路干线充电节点，形成规模适宜、布局合理的甘肃省高速公路服务区充电网络，打通高速公路便捷充电的“最后一米”。</w:t>
      </w:r>
    </w:p>
    <w:p w14:paraId="04DA970C" w14:textId="77777777" w:rsidR="000578B5" w:rsidRDefault="000578B5" w:rsidP="000578B5">
      <w:r>
        <w:rPr>
          <w:rFonts w:hint="eastAsia"/>
        </w:rPr>
        <w:t>到</w:t>
      </w:r>
      <w:r>
        <w:t>2022年底，甘肃高速公路将实现在新能源汽车单次续航里程内和81个服务区之间合理设置充电站，并经高速公路网络，与周边陕西、四川等省（区）实现连接。</w:t>
      </w:r>
    </w:p>
    <w:p w14:paraId="72B3DAE6" w14:textId="02B69BC4" w:rsidR="000578B5" w:rsidRDefault="00E40E5D" w:rsidP="00E40E5D">
      <w:pPr>
        <w:outlineLvl w:val="1"/>
      </w:pPr>
      <w:r>
        <w:rPr>
          <w:rFonts w:hint="eastAsia"/>
          <w:b/>
        </w:rPr>
        <w:t>3</w:t>
      </w:r>
      <w:r>
        <w:rPr>
          <w:b/>
        </w:rPr>
        <w:t>.</w:t>
      </w:r>
      <w:r w:rsidR="000578B5" w:rsidRPr="00E40E5D">
        <w:rPr>
          <w:rFonts w:hint="eastAsia"/>
          <w:b/>
        </w:rPr>
        <w:t>多地出台新举措</w:t>
      </w:r>
      <w:r w:rsidR="000578B5" w:rsidRPr="00E40E5D">
        <w:rPr>
          <w:b/>
        </w:rPr>
        <w:t>鼓励新能源汽车和商圈消费</w:t>
      </w:r>
    </w:p>
    <w:p w14:paraId="78E1A87B" w14:textId="77777777" w:rsidR="000578B5" w:rsidRDefault="000578B5" w:rsidP="000578B5">
      <w:r>
        <w:rPr>
          <w:rFonts w:hint="eastAsia"/>
        </w:rPr>
        <w:t>临近年底，各地密集出台新的促消费举措，如扩大汽车消费、提升商圈消费、发放消费券等，增强消费对经济增长的压舱石作用。新能源汽车等大宗商品是促消费重点，近期广州出台《关于促进城市消费的若干政策措施》，提出</w:t>
      </w:r>
      <w:r>
        <w:t>2021-2022年配置节能小汽车增量指标增加至8万个。</w:t>
      </w:r>
    </w:p>
    <w:p w14:paraId="04096B80" w14:textId="77777777" w:rsidR="000578B5" w:rsidRDefault="000578B5" w:rsidP="000578B5">
      <w:r>
        <w:rPr>
          <w:rFonts w:hint="eastAsia"/>
        </w:rPr>
        <w:t>深圳市则提出，进一步放宽新能源小汽车指标申请条件，取消社保条件等限制，促进新能源小汽车销售。</w:t>
      </w:r>
    </w:p>
    <w:p w14:paraId="26997C99" w14:textId="1B1092EF" w:rsidR="000578B5" w:rsidRPr="00E40E5D" w:rsidRDefault="00E40E5D" w:rsidP="00E40E5D">
      <w:pPr>
        <w:outlineLvl w:val="1"/>
        <w:rPr>
          <w:b/>
        </w:rPr>
      </w:pPr>
      <w:r>
        <w:rPr>
          <w:rFonts w:hint="eastAsia"/>
          <w:b/>
        </w:rPr>
        <w:t>4</w:t>
      </w:r>
      <w:r>
        <w:rPr>
          <w:b/>
        </w:rPr>
        <w:t>.</w:t>
      </w:r>
      <w:r w:rsidR="000578B5" w:rsidRPr="00E40E5D">
        <w:rPr>
          <w:rFonts w:hint="eastAsia"/>
          <w:b/>
        </w:rPr>
        <w:t>工信部</w:t>
      </w:r>
      <w:r w:rsidR="000578B5" w:rsidRPr="00E40E5D">
        <w:rPr>
          <w:b/>
        </w:rPr>
        <w:t>:研究制定车联网等领域数据安全标准</w:t>
      </w:r>
    </w:p>
    <w:p w14:paraId="694DB140" w14:textId="77777777" w:rsidR="000578B5" w:rsidRDefault="000578B5" w:rsidP="000578B5">
      <w:r>
        <w:t>11月16日，工业和信息化部网络安全管理局副局长杜广达在《“十四五”信息通信行业发展规划》新闻发布会上表示，“十四五”期间，工信部将在总结固化前期工作基础上，通过以下四点进一步深化工业和信息化领域数据安全保护工作：</w:t>
      </w:r>
    </w:p>
    <w:p w14:paraId="6495E2E0" w14:textId="77777777" w:rsidR="000578B5" w:rsidRDefault="000578B5" w:rsidP="000578B5">
      <w:r>
        <w:rPr>
          <w:rFonts w:hint="eastAsia"/>
        </w:rPr>
        <w:t>一是构建行业数据安全制度体系。二是加强标准顶层设计和统筹制定。三是加强数据安全监管。四是大力发展数据安全产业。推动出台促进数据安全产业发展的政策文件，完善数据安全产业政策环境。</w:t>
      </w:r>
    </w:p>
    <w:p w14:paraId="23F3E040" w14:textId="5BC54DCE" w:rsidR="000578B5" w:rsidRPr="00E40E5D" w:rsidRDefault="00E40E5D" w:rsidP="00E40E5D">
      <w:pPr>
        <w:outlineLvl w:val="1"/>
        <w:rPr>
          <w:b/>
        </w:rPr>
      </w:pPr>
      <w:r>
        <w:rPr>
          <w:rFonts w:hint="eastAsia"/>
          <w:b/>
        </w:rPr>
        <w:t>5</w:t>
      </w:r>
      <w:r>
        <w:rPr>
          <w:b/>
        </w:rPr>
        <w:t>.</w:t>
      </w:r>
      <w:r w:rsidR="000578B5" w:rsidRPr="00E40E5D">
        <w:rPr>
          <w:rFonts w:hint="eastAsia"/>
          <w:b/>
        </w:rPr>
        <w:t>工信部就锂电池行业规范征求意见</w:t>
      </w:r>
    </w:p>
    <w:p w14:paraId="5DEEBD9B" w14:textId="77777777" w:rsidR="000578B5" w:rsidRDefault="000578B5" w:rsidP="000578B5">
      <w:r>
        <w:t>11月18日，工信部电子信息司组织修订了《锂离子电池行业规范条件（2021年本）》（征求意见稿）和《锂离子电池行业规范公告管理办法（2021年本）》（征求意见稿）。政策指出，要引导企业减少单纯扩大产能的制造项目，加强技术创新、提高产品质量、降低生产成本；鼓励企业在产品前端设计增加资源回收和综合利用。</w:t>
      </w:r>
    </w:p>
    <w:p w14:paraId="5A5A275C" w14:textId="1BE199FE" w:rsidR="000578B5" w:rsidRPr="00E40E5D" w:rsidRDefault="00E40E5D" w:rsidP="00E40E5D">
      <w:pPr>
        <w:outlineLvl w:val="1"/>
        <w:rPr>
          <w:b/>
        </w:rPr>
      </w:pPr>
      <w:r>
        <w:rPr>
          <w:rFonts w:hint="eastAsia"/>
          <w:b/>
        </w:rPr>
        <w:t>6</w:t>
      </w:r>
      <w:r>
        <w:rPr>
          <w:b/>
        </w:rPr>
        <w:t>.</w:t>
      </w:r>
      <w:r w:rsidR="000578B5" w:rsidRPr="00E40E5D">
        <w:rPr>
          <w:rFonts w:hint="eastAsia"/>
          <w:b/>
        </w:rPr>
        <w:t>三部门：</w:t>
      </w:r>
      <w:r w:rsidR="000578B5" w:rsidRPr="00E40E5D">
        <w:rPr>
          <w:b/>
        </w:rPr>
        <w:t>ETC欠费行为将纳入征信体系</w:t>
      </w:r>
    </w:p>
    <w:p w14:paraId="4FA4D454" w14:textId="77777777" w:rsidR="000578B5" w:rsidRDefault="000578B5" w:rsidP="000578B5">
      <w:r w:rsidRPr="0085296D">
        <w:rPr>
          <w:rFonts w:hint="eastAsia"/>
        </w:rPr>
        <w:t>交通运输部等三部门发布《关于进一步做好货车</w:t>
      </w:r>
      <w:r w:rsidRPr="0085296D">
        <w:t>ETC发行服务有关工作的通知》。通知提到，对不具备授信条件的用户，商业银行可在依法合规、科学合理、平等自愿的基础上，与用户约定设置ETC通行费支付结算保证金，防范垫款等金融风险。通过机构和部门间的信息共享，及时提醒欠费用户补交相关费用；将ETC欠费行为纳入征信体系，引导货运物流企业和货车司机依法诚信经营。</w:t>
      </w:r>
    </w:p>
    <w:p w14:paraId="21C677A0" w14:textId="50B8D5DF" w:rsidR="000578B5" w:rsidRPr="00E40E5D" w:rsidRDefault="00E40E5D" w:rsidP="00E40E5D">
      <w:pPr>
        <w:outlineLvl w:val="1"/>
        <w:rPr>
          <w:b/>
        </w:rPr>
      </w:pPr>
      <w:r>
        <w:rPr>
          <w:rFonts w:hint="eastAsia"/>
          <w:b/>
        </w:rPr>
        <w:t>7</w:t>
      </w:r>
      <w:r>
        <w:rPr>
          <w:b/>
        </w:rPr>
        <w:t>.</w:t>
      </w:r>
      <w:r w:rsidR="000578B5" w:rsidRPr="00E40E5D">
        <w:rPr>
          <w:rFonts w:hint="eastAsia"/>
          <w:b/>
        </w:rPr>
        <w:t>四川省：完善新能源汽车推广消费政策</w:t>
      </w:r>
    </w:p>
    <w:p w14:paraId="55E7FB55" w14:textId="77777777" w:rsidR="000578B5" w:rsidRDefault="000578B5" w:rsidP="000578B5">
      <w:r>
        <w:rPr>
          <w:rFonts w:hint="eastAsia"/>
        </w:rPr>
        <w:t>四川省生态环境厅发布了关于向社会公开征求《四川省“十四五”生态环境保护规划（征求意见稿）》意见的公告。四川省将完善新能源汽车推广消费政策，研究延长补贴期限，加快推动公共交通及特定领域加快电动化，推动公共机构带头使用新能源汽车。严格执行政府对节能环保产品的优先采购和强制采购制度。</w:t>
      </w:r>
    </w:p>
    <w:p w14:paraId="3F068491" w14:textId="48F0CD0B" w:rsidR="000578B5" w:rsidRPr="00E40E5D" w:rsidRDefault="00E40E5D" w:rsidP="00E40E5D">
      <w:pPr>
        <w:outlineLvl w:val="1"/>
        <w:rPr>
          <w:b/>
        </w:rPr>
      </w:pPr>
      <w:r>
        <w:rPr>
          <w:rFonts w:hint="eastAsia"/>
          <w:b/>
        </w:rPr>
        <w:t>8</w:t>
      </w:r>
      <w:r>
        <w:rPr>
          <w:b/>
        </w:rPr>
        <w:t>.</w:t>
      </w:r>
      <w:r w:rsidR="000578B5" w:rsidRPr="00E40E5D">
        <w:rPr>
          <w:rFonts w:hint="eastAsia"/>
          <w:b/>
        </w:rPr>
        <w:t>国家网信办公布《网络数据安全管理条例（征求意见稿）》</w:t>
      </w:r>
    </w:p>
    <w:p w14:paraId="78187794" w14:textId="77777777" w:rsidR="000578B5" w:rsidRDefault="000578B5" w:rsidP="000578B5">
      <w:r>
        <w:t>11月14日，国家网信办发布《网络数据安全管理条例（征求意见稿）》，提出将按照数据对国家安全、公共利益或者个人、组织合法权益的影响和重要程度，将数据分为一般数据、重要数据、核心数据，并对个人信息保护、重要数据安全、数据跨境安全管理等进一步提出了系统性规范要求。</w:t>
      </w:r>
    </w:p>
    <w:p w14:paraId="5233B539" w14:textId="0FE6233B" w:rsidR="000578B5" w:rsidRPr="00E40E5D" w:rsidRDefault="00E40E5D" w:rsidP="00E40E5D">
      <w:pPr>
        <w:outlineLvl w:val="1"/>
        <w:rPr>
          <w:b/>
        </w:rPr>
      </w:pPr>
      <w:r>
        <w:rPr>
          <w:rFonts w:hint="eastAsia"/>
          <w:b/>
        </w:rPr>
        <w:t>9</w:t>
      </w:r>
      <w:r>
        <w:rPr>
          <w:b/>
        </w:rPr>
        <w:t>.</w:t>
      </w:r>
      <w:r w:rsidR="000578B5" w:rsidRPr="00E40E5D">
        <w:rPr>
          <w:rFonts w:hint="eastAsia"/>
          <w:b/>
        </w:rPr>
        <w:t>交通运输部：“十四五”时期推进新能源车辆规模化应用</w:t>
      </w:r>
    </w:p>
    <w:p w14:paraId="24BC385B" w14:textId="77777777" w:rsidR="000578B5" w:rsidRDefault="000578B5" w:rsidP="000578B5">
      <w:r>
        <w:t>11月18日，交通运输部印发《综合运输服务“十四五”发展规划》提出，提升绿色出行装备水平，推进新能源车辆规模化应用，加快充电基础设施建设，开展绿色出行“续航工程”。指导网约车平台公司优化约车软件，增“一键叫车”功能，方便老年人使用。鼓励有条件的地区在医院、居民集中居住区、重要商业区等场所设置出租车候客点、临时停靠点。到2025年，力争60%以上的创建城市绿色出行比例达到70%，绿色出行服务满意率不低于80%。</w:t>
      </w:r>
    </w:p>
    <w:p w14:paraId="73C43659" w14:textId="63E199A5" w:rsidR="000578B5" w:rsidRPr="00E40E5D" w:rsidRDefault="00E40E5D" w:rsidP="00E40E5D">
      <w:pPr>
        <w:outlineLvl w:val="1"/>
        <w:rPr>
          <w:b/>
        </w:rPr>
      </w:pPr>
      <w:r>
        <w:rPr>
          <w:rFonts w:hint="eastAsia"/>
          <w:b/>
        </w:rPr>
        <w:t>1</w:t>
      </w:r>
      <w:r>
        <w:rPr>
          <w:b/>
        </w:rPr>
        <w:t>0.</w:t>
      </w:r>
      <w:r w:rsidR="000578B5" w:rsidRPr="00E40E5D">
        <w:rPr>
          <w:rFonts w:hint="eastAsia"/>
          <w:b/>
        </w:rPr>
        <w:t>海南省发布新能源汽车换电模式试点方案</w:t>
      </w:r>
    </w:p>
    <w:p w14:paraId="4965FA3B" w14:textId="77777777" w:rsidR="000578B5" w:rsidRDefault="000578B5" w:rsidP="000578B5">
      <w:r>
        <w:rPr>
          <w:rFonts w:hint="eastAsia"/>
        </w:rPr>
        <w:t>获悉《海南省新能源汽车换电模式应用试点实施方案》已经印发，全文如下：为贯彻落实《新能源汽车产业发展规划（</w:t>
      </w:r>
      <w:r>
        <w:t>2021—2035年）》和《海南省清洁能源汽车发展规划》要求，加快国家生态文明试验区建设，助力实现“碳达峰、碳中和”目标，根据工业和信息化部关于组织开展新能源汽车换电模式应用试点的工作部署，制定本实施方案。一、指导思想。二、工作目标。三、重点任务。四、保障措施。</w:t>
      </w:r>
    </w:p>
    <w:p w14:paraId="188C0101" w14:textId="3C2C0183" w:rsidR="000578B5" w:rsidRPr="00E40E5D" w:rsidRDefault="00E40E5D" w:rsidP="00E40E5D">
      <w:pPr>
        <w:outlineLvl w:val="1"/>
        <w:rPr>
          <w:b/>
        </w:rPr>
      </w:pPr>
      <w:r>
        <w:rPr>
          <w:rFonts w:hint="eastAsia"/>
          <w:b/>
        </w:rPr>
        <w:t>1</w:t>
      </w:r>
      <w:r>
        <w:rPr>
          <w:b/>
        </w:rPr>
        <w:t>1.</w:t>
      </w:r>
      <w:r w:rsidR="000578B5" w:rsidRPr="00E40E5D">
        <w:rPr>
          <w:b/>
        </w:rPr>
        <w:t>全国网络货运数据公布</w:t>
      </w:r>
    </w:p>
    <w:p w14:paraId="4E0F4394" w14:textId="77777777" w:rsidR="000578B5" w:rsidRDefault="000578B5" w:rsidP="000578B5">
      <w:r>
        <w:rPr>
          <w:rFonts w:hint="eastAsia"/>
        </w:rPr>
        <w:t>根据交通运输部网络货运信息交互系统统计，截止到</w:t>
      </w:r>
      <w:r>
        <w:t>2021年9月30日，全国共有1755家网络货运企业（含分公司），整合社会零散运力297万辆，整合驾驶员301万人，第三季度完成运单1657.6万单，环比增长30%。</w:t>
      </w:r>
    </w:p>
    <w:p w14:paraId="3AA051CB" w14:textId="77777777" w:rsidR="000578B5" w:rsidRDefault="000578B5" w:rsidP="000578B5">
      <w:r>
        <w:rPr>
          <w:rFonts w:hint="eastAsia"/>
        </w:rPr>
        <w:t>据了解，在</w:t>
      </w:r>
      <w:r>
        <w:t>30个有网络货运企业的省份和新疆建设兵团中，网络货运企业整合运力的前三名为江苏、山西、山东，完成运单量的前三名为天津、山西、江苏，单据上传率的前三名的为河南、山东、吉林。</w:t>
      </w:r>
    </w:p>
    <w:p w14:paraId="01B7EBBA" w14:textId="49C2A90A" w:rsidR="00B528E4" w:rsidRPr="00E40E5D" w:rsidRDefault="00E40E5D" w:rsidP="00E40E5D">
      <w:pPr>
        <w:outlineLvl w:val="1"/>
        <w:rPr>
          <w:b/>
        </w:rPr>
      </w:pPr>
      <w:r>
        <w:rPr>
          <w:rFonts w:hint="eastAsia"/>
          <w:b/>
        </w:rPr>
        <w:t>1</w:t>
      </w:r>
      <w:r>
        <w:rPr>
          <w:b/>
        </w:rPr>
        <w:t>2.</w:t>
      </w:r>
      <w:r w:rsidR="00B528E4" w:rsidRPr="00E40E5D">
        <w:rPr>
          <w:rFonts w:hint="eastAsia"/>
          <w:b/>
        </w:rPr>
        <w:t>统计局：</w:t>
      </w:r>
      <w:r w:rsidR="00B528E4" w:rsidRPr="00E40E5D">
        <w:rPr>
          <w:b/>
        </w:rPr>
        <w:t>10月份社会消费品零售总额增长4.9%</w:t>
      </w:r>
    </w:p>
    <w:p w14:paraId="07DAFE57" w14:textId="77777777" w:rsidR="00B528E4" w:rsidRDefault="00B528E4" w:rsidP="00B528E4">
      <w:r>
        <w:t>10月份，社会消费品零售总额40,454亿元，同比增长4.9%；其中，除汽车以外的消费品零售额37,057亿元，增长6.7%。1-10月份，社会消费品零售总额358,511亿元，同比增长14.9%。</w:t>
      </w:r>
    </w:p>
    <w:p w14:paraId="1D7F615C" w14:textId="681500A2" w:rsidR="00B528E4" w:rsidRPr="00E40E5D" w:rsidRDefault="00E40E5D" w:rsidP="00E40E5D">
      <w:pPr>
        <w:outlineLvl w:val="1"/>
        <w:rPr>
          <w:b/>
        </w:rPr>
      </w:pPr>
      <w:r>
        <w:rPr>
          <w:rFonts w:hint="eastAsia"/>
          <w:b/>
        </w:rPr>
        <w:t>1</w:t>
      </w:r>
      <w:r>
        <w:rPr>
          <w:b/>
        </w:rPr>
        <w:t>3.</w:t>
      </w:r>
      <w:r w:rsidR="00B528E4" w:rsidRPr="00E40E5D">
        <w:rPr>
          <w:rFonts w:hint="eastAsia"/>
          <w:b/>
        </w:rPr>
        <w:t>统计局：</w:t>
      </w:r>
      <w:r w:rsidR="00B528E4" w:rsidRPr="00E40E5D">
        <w:rPr>
          <w:b/>
        </w:rPr>
        <w:t>1-10月份全国固定资产投资（不含农户）增长6.1%</w:t>
      </w:r>
    </w:p>
    <w:p w14:paraId="3AC6D386" w14:textId="08C64123" w:rsidR="00B528E4" w:rsidRDefault="00B528E4" w:rsidP="00B528E4">
      <w:r>
        <w:t>1-10月份，全国固定资产投资（不含农户）445,823亿元，同比增长6.1%；比2019年1-10月份增长7.8%，两年平均增长3.8%。其中，民间固定资产投资254,462亿元，同比增长8.5%。</w:t>
      </w:r>
    </w:p>
    <w:p w14:paraId="38BD9FFA" w14:textId="77777777" w:rsidR="00E40E5D" w:rsidRDefault="00E40E5D" w:rsidP="00B528E4"/>
    <w:p w14:paraId="1F12C2D4" w14:textId="77777777" w:rsidR="00B528E4" w:rsidRPr="00567A78" w:rsidRDefault="00B528E4" w:rsidP="00B528E4">
      <w:pPr>
        <w:pStyle w:val="a8"/>
        <w:numPr>
          <w:ilvl w:val="0"/>
          <w:numId w:val="8"/>
        </w:numPr>
        <w:ind w:firstLineChars="0"/>
        <w:outlineLvl w:val="0"/>
        <w:rPr>
          <w:b/>
        </w:rPr>
      </w:pPr>
      <w:r w:rsidRPr="002009FE">
        <w:rPr>
          <w:rFonts w:cs="宋体" w:hint="eastAsia"/>
          <w:b/>
          <w:bCs/>
        </w:rPr>
        <w:t>新品信息跟踪</w:t>
      </w:r>
    </w:p>
    <w:p w14:paraId="2DC914BC" w14:textId="77777777" w:rsidR="00B528E4" w:rsidRPr="00BE2723" w:rsidRDefault="00B528E4" w:rsidP="00B528E4">
      <w:pPr>
        <w:pStyle w:val="a8"/>
        <w:numPr>
          <w:ilvl w:val="3"/>
          <w:numId w:val="9"/>
        </w:numPr>
        <w:ind w:left="426" w:firstLineChars="0"/>
        <w:outlineLvl w:val="1"/>
        <w:rPr>
          <w:b/>
        </w:rPr>
      </w:pPr>
      <w:r w:rsidRPr="00BE2723">
        <w:rPr>
          <w:rFonts w:hint="eastAsia"/>
          <w:b/>
        </w:rPr>
        <w:t>北京汽车</w:t>
      </w:r>
      <w:r w:rsidRPr="00BE2723">
        <w:rPr>
          <w:b/>
        </w:rPr>
        <w:t>C52X</w:t>
      </w:r>
    </w:p>
    <w:p w14:paraId="162D4259" w14:textId="77777777" w:rsidR="00B528E4" w:rsidRDefault="00B528E4" w:rsidP="00B528E4">
      <w:r>
        <w:rPr>
          <w:noProof/>
          <w:color w:val="000000"/>
        </w:rPr>
        <w:drawing>
          <wp:inline distT="0" distB="0" distL="0" distR="0" wp14:anchorId="1771B5C4" wp14:editId="3DE87CFA">
            <wp:extent cx="1800000" cy="1128134"/>
            <wp:effectExtent l="0" t="0" r="0" b="0"/>
            <wp:docPr id="25" name="图片 25" descr="http://dss.way-s.cn/news/net_images/ifeng/a1390ae79a7c407def001f3363f538704be936a9/93986febcf4a5a520d3d9a8972252b6f08dbd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ifeng/a1390ae79a7c407def001f3363f538704be936a9/93986febcf4a5a520d3d9a8972252b6f08dbd756.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000" cy="1128134"/>
                    </a:xfrm>
                    <a:prstGeom prst="rect">
                      <a:avLst/>
                    </a:prstGeom>
                    <a:noFill/>
                    <a:ln>
                      <a:noFill/>
                    </a:ln>
                  </pic:spPr>
                </pic:pic>
              </a:graphicData>
            </a:graphic>
          </wp:inline>
        </w:drawing>
      </w:r>
    </w:p>
    <w:p w14:paraId="6156FFD6" w14:textId="77777777" w:rsidR="00B528E4" w:rsidRDefault="00B528E4" w:rsidP="00B528E4">
      <w:r>
        <w:rPr>
          <w:rFonts w:hint="eastAsia"/>
        </w:rPr>
        <w:t>从北京汽车官方获悉旗下首款搭载华为智能座舱</w:t>
      </w:r>
      <w:r>
        <w:t>-鸿蒙车机OS的燃油SUV——C52X将于广州车展正式首发亮相。同时，品牌将在发布会上公布新车的中文名。外观方面，新车采用了全新的设计语言，整体造型设计极具新能源车型的特征，特别是前包围还融入了黑色圆圈进行点缀，营造出动感的气息。动力方面，新车搭载一款1.5T“魔核”发动机，最大功率为138kW（188马力），拥有高达39.2%的超高热效率，最大扭矩或为305N·m，与之匹配的是一款7速湿式双离合变速箱。</w:t>
      </w:r>
    </w:p>
    <w:p w14:paraId="0ED37133" w14:textId="77777777" w:rsidR="00B528E4" w:rsidRPr="00BE2723" w:rsidRDefault="00B528E4" w:rsidP="00B528E4">
      <w:pPr>
        <w:pStyle w:val="a8"/>
        <w:numPr>
          <w:ilvl w:val="3"/>
          <w:numId w:val="9"/>
        </w:numPr>
        <w:ind w:left="426" w:firstLineChars="0"/>
        <w:outlineLvl w:val="1"/>
        <w:rPr>
          <w:b/>
        </w:rPr>
      </w:pPr>
      <w:r w:rsidRPr="00BE2723">
        <w:rPr>
          <w:rFonts w:hint="eastAsia"/>
          <w:b/>
        </w:rPr>
        <w:t>比亚迪唐</w:t>
      </w:r>
      <w:r w:rsidRPr="00BE2723">
        <w:rPr>
          <w:b/>
        </w:rPr>
        <w:t>DM-P</w:t>
      </w:r>
    </w:p>
    <w:p w14:paraId="60AA6BE5" w14:textId="77777777" w:rsidR="00B528E4" w:rsidRDefault="00B528E4" w:rsidP="00B528E4">
      <w:r>
        <w:rPr>
          <w:noProof/>
          <w:color w:val="000000"/>
        </w:rPr>
        <w:drawing>
          <wp:inline distT="0" distB="0" distL="0" distR="0" wp14:anchorId="21FFFDF9" wp14:editId="37CA0C69">
            <wp:extent cx="1800000" cy="1125000"/>
            <wp:effectExtent l="0" t="0" r="0" b="0"/>
            <wp:docPr id="7" name="图片 7" descr="http://dss.way-s.cn/news/net_images/autohome/86ef1fbe26553e0a27391ec21b7348939dee5b56/fb5cbc8aec7fbcd9a4c0110caf7e055ddd1eef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86ef1fbe26553e0a27391ec21b7348939dee5b56/fb5cbc8aec7fbcd9a4c0110caf7e055ddd1eefe9.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4FA1D24" w14:textId="5D4AF6A1" w:rsidR="00B528E4" w:rsidRDefault="00B528E4" w:rsidP="00B528E4">
      <w:r>
        <w:rPr>
          <w:rFonts w:hint="eastAsia"/>
        </w:rPr>
        <w:t>获取到了一组比亚迪唐</w:t>
      </w:r>
      <w:r>
        <w:t>DM-P车型的谍照，从此前比亚迪发布的信息看，相比主打经济节油的“i”系列，“P”系列主打性能，因此该车预计会有不错的动力表现。外观方面，新车与现款唐DM-i及唐DM设计基本一致，其沿用了比亚迪DragonFace设计语言，看起来威严而犀利。前格栅开口较大，表面采用横向镀铬饰条，配合两侧狭长的大灯组非常有气势。侧面高挑的窗线也让整车看起来更具气势，同时还换装了新造型的轮圈，看起来更有动感气息。车尾依旧采用了标志性的贯穿式LED尾灯设计，辨识度很高。同时尾部更换为“DM-P”的尾标</w:t>
      </w:r>
      <w:r>
        <w:rPr>
          <w:rFonts w:hint="eastAsia"/>
        </w:rPr>
        <w:t>，标志了它的身份。</w:t>
      </w:r>
      <w:r>
        <w:t>动力方面，参考唐DM-i，其搭载了米勒循环的骁云1.5T发动机和EHS电混系统，并使用了混动专用的磷酸铁锂“刀片电池”。但也有消息称，新车的纯电续航达到200km，并有可能搭载2.0T发动机。具体的动力组合还需要比亚迪官方来公布。</w:t>
      </w:r>
    </w:p>
    <w:p w14:paraId="1FE45A34" w14:textId="77777777" w:rsidR="00E40E5D" w:rsidRDefault="00E40E5D" w:rsidP="00B528E4"/>
    <w:p w14:paraId="4ADBB4B5" w14:textId="77777777" w:rsidR="00B528E4" w:rsidRPr="002009FE" w:rsidRDefault="00B528E4" w:rsidP="00B528E4">
      <w:pPr>
        <w:pStyle w:val="a8"/>
        <w:numPr>
          <w:ilvl w:val="0"/>
          <w:numId w:val="4"/>
        </w:numPr>
        <w:ind w:firstLineChars="0"/>
        <w:outlineLvl w:val="0"/>
      </w:pPr>
      <w:r>
        <w:rPr>
          <w:rFonts w:cs="宋体" w:hint="eastAsia"/>
          <w:b/>
          <w:bCs/>
        </w:rPr>
        <w:t>企业信息</w:t>
      </w:r>
    </w:p>
    <w:p w14:paraId="604E7951" w14:textId="77777777" w:rsidR="000578B5" w:rsidRPr="009D7616" w:rsidRDefault="000578B5" w:rsidP="00B528E4">
      <w:pPr>
        <w:pStyle w:val="a8"/>
        <w:numPr>
          <w:ilvl w:val="3"/>
          <w:numId w:val="17"/>
        </w:numPr>
        <w:ind w:firstLineChars="0"/>
        <w:jc w:val="left"/>
        <w:outlineLvl w:val="1"/>
        <w:rPr>
          <w:b/>
        </w:rPr>
      </w:pPr>
      <w:r w:rsidRPr="009D7616">
        <w:rPr>
          <w:rFonts w:hint="eastAsia"/>
          <w:b/>
        </w:rPr>
        <w:t>阿维塔品牌全球正式首发</w:t>
      </w:r>
      <w:r w:rsidRPr="009D7616">
        <w:rPr>
          <w:b/>
        </w:rPr>
        <w:t>将自建工厂</w:t>
      </w:r>
    </w:p>
    <w:p w14:paraId="3D90F87C" w14:textId="77777777" w:rsidR="000578B5" w:rsidRDefault="000578B5" w:rsidP="00B528E4">
      <w:r>
        <w:t>11月15日，阿维塔品牌在上海全球首发，旗下首款车型阿维塔11同步亮相。阿维塔11是一款轿跑型智能纯电SUV。</w:t>
      </w:r>
    </w:p>
    <w:p w14:paraId="7D9981A3" w14:textId="77777777" w:rsidR="000578B5" w:rsidRDefault="000578B5" w:rsidP="00B528E4">
      <w:r>
        <w:rPr>
          <w:rFonts w:hint="eastAsia"/>
        </w:rPr>
        <w:t>据阿维塔科技此前发布的信息，阿维塔科技融合了长安、华为、宁德时代各自的优势，共创了智能电动汽车技术平台——</w:t>
      </w:r>
      <w:r>
        <w:t>CHN，根据这一架构，华为将为阿维塔11提供华为HI全栈智能汽车解决方案，宁德时代则为该车提供最新的电动化技术，而长安将把整车研发制造的能力赋予阿维塔。</w:t>
      </w:r>
    </w:p>
    <w:p w14:paraId="371117C2" w14:textId="77777777" w:rsidR="000578B5" w:rsidRPr="002454AC" w:rsidRDefault="000578B5" w:rsidP="00B528E4">
      <w:pPr>
        <w:pStyle w:val="a8"/>
        <w:numPr>
          <w:ilvl w:val="3"/>
          <w:numId w:val="17"/>
        </w:numPr>
        <w:ind w:firstLineChars="0"/>
        <w:jc w:val="left"/>
        <w:outlineLvl w:val="1"/>
        <w:rPr>
          <w:b/>
        </w:rPr>
      </w:pPr>
      <w:r w:rsidRPr="002454AC">
        <w:rPr>
          <w:rFonts w:hint="eastAsia"/>
          <w:b/>
        </w:rPr>
        <w:t>爱驰汽车登陆西班牙和葡萄牙</w:t>
      </w:r>
    </w:p>
    <w:p w14:paraId="25C947D8" w14:textId="77777777" w:rsidR="000578B5" w:rsidRDefault="000578B5" w:rsidP="00B528E4">
      <w:r>
        <w:t>11月16日，爱驰汽车与Astara达成战略合作，正式登陆欧盟成员国西班牙和葡萄牙。至此，爱驰汽车已登陆欧洲9国，实现南欧、北欧、西欧、中欧以及EFTA（欧洲自由贸易联盟）国家市场的重点覆盖。</w:t>
      </w:r>
    </w:p>
    <w:p w14:paraId="68E03DB4" w14:textId="77777777" w:rsidR="000578B5" w:rsidRPr="00B2624E" w:rsidRDefault="000578B5" w:rsidP="00B528E4">
      <w:pPr>
        <w:pStyle w:val="a8"/>
        <w:numPr>
          <w:ilvl w:val="3"/>
          <w:numId w:val="17"/>
        </w:numPr>
        <w:ind w:firstLineChars="0"/>
        <w:jc w:val="left"/>
        <w:outlineLvl w:val="1"/>
        <w:rPr>
          <w:b/>
        </w:rPr>
      </w:pPr>
      <w:r w:rsidRPr="00B2624E">
        <w:rPr>
          <w:rFonts w:hint="eastAsia"/>
          <w:b/>
        </w:rPr>
        <w:t>东风悦达起亚遭东风退股</w:t>
      </w:r>
    </w:p>
    <w:p w14:paraId="7DAC1999" w14:textId="77777777" w:rsidR="000578B5" w:rsidRDefault="000578B5" w:rsidP="00B528E4">
      <w:r>
        <w:rPr>
          <w:rFonts w:hint="eastAsia"/>
        </w:rPr>
        <w:t>东风公司已确定将要退出东风悦达起亚，将在产权交易所挂牌转让所持东风悦达起亚</w:t>
      </w:r>
      <w:r>
        <w:t>25%的股份。</w:t>
      </w:r>
    </w:p>
    <w:p w14:paraId="5118DF5B" w14:textId="77777777" w:rsidR="000578B5" w:rsidRPr="00C06BE4" w:rsidRDefault="000578B5" w:rsidP="00B528E4">
      <w:pPr>
        <w:pStyle w:val="a8"/>
        <w:numPr>
          <w:ilvl w:val="3"/>
          <w:numId w:val="17"/>
        </w:numPr>
        <w:ind w:firstLineChars="0"/>
        <w:jc w:val="left"/>
        <w:outlineLvl w:val="1"/>
        <w:rPr>
          <w:b/>
        </w:rPr>
      </w:pPr>
      <w:r w:rsidRPr="00C06BE4">
        <w:rPr>
          <w:rFonts w:hint="eastAsia"/>
          <w:b/>
        </w:rPr>
        <w:t>广汽计划</w:t>
      </w:r>
      <w:r w:rsidRPr="00C06BE4">
        <w:rPr>
          <w:b/>
        </w:rPr>
        <w:t>2025年自主品牌新能源销量过半</w:t>
      </w:r>
    </w:p>
    <w:p w14:paraId="423D854B" w14:textId="77777777" w:rsidR="000578B5" w:rsidRDefault="000578B5" w:rsidP="00B528E4">
      <w:r>
        <w:t>11月19日，在广州车展上，广汽集团举行新闻发布会，发布广汽GLASS“绿净计划”的具体目标和举措。</w:t>
      </w:r>
    </w:p>
    <w:p w14:paraId="4D2F62EA" w14:textId="77777777" w:rsidR="000578B5" w:rsidRDefault="000578B5" w:rsidP="00B528E4">
      <w:r>
        <w:rPr>
          <w:rFonts w:hint="eastAsia"/>
        </w:rPr>
        <w:t>广汽集团称，将于</w:t>
      </w:r>
      <w:r>
        <w:t>2050年前（挑战2045年）实现产品全生命周期的碳中和，在2023年将广汽埃安打造成广汽首个零碳工厂；2025年自主品牌新能源汽车销量占比50%、2030年全集团新能源车销量占比50%，广汽传祺于2025年实现全系车型混动化、2030年实现混动销量占比60%。</w:t>
      </w:r>
    </w:p>
    <w:p w14:paraId="4D54F9B1" w14:textId="77777777" w:rsidR="000578B5" w:rsidRPr="00406A8B" w:rsidRDefault="000578B5" w:rsidP="00B528E4">
      <w:pPr>
        <w:pStyle w:val="a8"/>
        <w:numPr>
          <w:ilvl w:val="3"/>
          <w:numId w:val="17"/>
        </w:numPr>
        <w:ind w:firstLineChars="0"/>
        <w:jc w:val="left"/>
        <w:outlineLvl w:val="1"/>
        <w:rPr>
          <w:b/>
        </w:rPr>
      </w:pPr>
      <w:r w:rsidRPr="00406A8B">
        <w:rPr>
          <w:rFonts w:hint="eastAsia"/>
          <w:b/>
        </w:rPr>
        <w:t>吉利将皮卡业务独立</w:t>
      </w:r>
    </w:p>
    <w:p w14:paraId="4FFBD60A" w14:textId="77777777" w:rsidR="000578B5" w:rsidRDefault="000578B5" w:rsidP="00B528E4">
      <w:r>
        <w:rPr>
          <w:rFonts w:hint="eastAsia"/>
        </w:rPr>
        <w:t>吉利未来将会把皮卡业务从商用车公司中独立开来，或将于明年发布高端纯电动皮卡，而竞争对手则直指目前风头正劲的美国皮卡新势力</w:t>
      </w:r>
      <w:r>
        <w:t>RIVIAN。在皮卡市场中，归属吉利商用车的远程FX已经初露头角，但似乎市场反响并不太好。将皮卡业务独立出来，定位也更加高端，可以看出吉利相当重视皮卡这个细分市场。</w:t>
      </w:r>
    </w:p>
    <w:p w14:paraId="4149DA36" w14:textId="77777777" w:rsidR="000578B5" w:rsidRPr="00B2624E" w:rsidRDefault="000578B5" w:rsidP="00B528E4">
      <w:pPr>
        <w:pStyle w:val="a8"/>
        <w:numPr>
          <w:ilvl w:val="3"/>
          <w:numId w:val="17"/>
        </w:numPr>
        <w:ind w:firstLineChars="0"/>
        <w:jc w:val="left"/>
        <w:outlineLvl w:val="1"/>
        <w:rPr>
          <w:b/>
        </w:rPr>
      </w:pPr>
      <w:r w:rsidRPr="00B2624E">
        <w:rPr>
          <w:rFonts w:hint="eastAsia"/>
          <w:b/>
        </w:rPr>
        <w:t>领克发布亚太战略</w:t>
      </w:r>
    </w:p>
    <w:p w14:paraId="49451A9D" w14:textId="77777777" w:rsidR="000578B5" w:rsidRDefault="000578B5" w:rsidP="00B528E4">
      <w:r>
        <w:t>11月18日，领克“亚太战略”正式开启，首站落地科威特，全球化版图再次扩张，领克01成为亚太战略的首款车型。领克在科威特将与AlZayani集团合作，并采用“分销”模式开拓市场。</w:t>
      </w:r>
    </w:p>
    <w:p w14:paraId="5120F5A3" w14:textId="77777777" w:rsidR="000578B5" w:rsidRPr="000B2626" w:rsidRDefault="000578B5" w:rsidP="00B528E4">
      <w:pPr>
        <w:pStyle w:val="a8"/>
        <w:numPr>
          <w:ilvl w:val="3"/>
          <w:numId w:val="17"/>
        </w:numPr>
        <w:ind w:firstLineChars="0"/>
        <w:jc w:val="left"/>
        <w:outlineLvl w:val="1"/>
        <w:rPr>
          <w:b/>
        </w:rPr>
      </w:pPr>
      <w:r w:rsidRPr="000B2626">
        <w:rPr>
          <w:rFonts w:hint="eastAsia"/>
          <w:b/>
        </w:rPr>
        <w:t>哪吒汽车在上海成立新能源科技公司</w:t>
      </w:r>
    </w:p>
    <w:p w14:paraId="787C5D08" w14:textId="77777777" w:rsidR="000578B5" w:rsidRPr="00027D33" w:rsidRDefault="000578B5" w:rsidP="00B528E4">
      <w:r w:rsidRPr="00027D33">
        <w:t>11月15日，哪吒智合新能源汽车科技（上海）有限公司成立，法定代表人为方运舟，注册资本4亿人民币，经营范围包括工程和技术研究和试验发展；资源再生利用技术研发；新能源汽车生产测试设备销售；新兴能源技术研发等。股东信息显示，该公司由哪吒汽车关联公司合众新能源汽车有限公司全资控股。</w:t>
      </w:r>
    </w:p>
    <w:p w14:paraId="556A63EF" w14:textId="77777777" w:rsidR="000578B5" w:rsidRPr="009E3D46" w:rsidRDefault="000578B5" w:rsidP="00B528E4">
      <w:pPr>
        <w:pStyle w:val="a8"/>
        <w:numPr>
          <w:ilvl w:val="3"/>
          <w:numId w:val="17"/>
        </w:numPr>
        <w:ind w:firstLineChars="0"/>
        <w:jc w:val="left"/>
        <w:outlineLvl w:val="1"/>
        <w:rPr>
          <w:b/>
        </w:rPr>
      </w:pPr>
      <w:r w:rsidRPr="009E3D46">
        <w:rPr>
          <w:rFonts w:hint="eastAsia"/>
          <w:b/>
        </w:rPr>
        <w:t>特斯拉中国大陆超充桩数量超</w:t>
      </w:r>
      <w:r w:rsidRPr="009E3D46">
        <w:rPr>
          <w:b/>
        </w:rPr>
        <w:t>8000个</w:t>
      </w:r>
    </w:p>
    <w:p w14:paraId="6D88B25F" w14:textId="77777777" w:rsidR="000578B5" w:rsidRPr="00AA3436" w:rsidRDefault="000578B5" w:rsidP="00B528E4">
      <w:r w:rsidRPr="00AA3436">
        <w:t>11月16日，特斯拉宣布，截至目前，特斯拉在中国大陆已建设开放超1000座超充站，超8000个超充桩。配合超700座目的地充电站，以及超1750个目的地充电桩，特斯拉充电网络已覆盖全中国超360个城市。</w:t>
      </w:r>
    </w:p>
    <w:p w14:paraId="148B2BAA" w14:textId="77777777" w:rsidR="000578B5" w:rsidRPr="00FB4657" w:rsidRDefault="000578B5" w:rsidP="00B528E4">
      <w:pPr>
        <w:pStyle w:val="a8"/>
        <w:numPr>
          <w:ilvl w:val="3"/>
          <w:numId w:val="17"/>
        </w:numPr>
        <w:ind w:firstLineChars="0"/>
        <w:jc w:val="left"/>
        <w:outlineLvl w:val="1"/>
        <w:rPr>
          <w:b/>
        </w:rPr>
      </w:pPr>
      <w:r w:rsidRPr="00FB4657">
        <w:rPr>
          <w:rFonts w:hint="eastAsia"/>
          <w:b/>
        </w:rPr>
        <w:t>沃尔沃卡车国产化进程</w:t>
      </w:r>
      <w:r w:rsidRPr="00FB4657">
        <w:rPr>
          <w:b/>
        </w:rPr>
        <w:t>:将引进最新技术</w:t>
      </w:r>
    </w:p>
    <w:p w14:paraId="3A16CB1C" w14:textId="77777777" w:rsidR="000578B5" w:rsidRDefault="000578B5" w:rsidP="00B528E4">
      <w:r>
        <w:rPr>
          <w:rFonts w:hint="eastAsia"/>
        </w:rPr>
        <w:t>根据沃尔沃方面透露，国产以后的沃尔沃卡车将引进一些现款车型没有的配置，主要是发动机和一些软件系统。其中最大的改变是将引进沃尔沃最新的</w:t>
      </w:r>
      <w:r>
        <w:t>D13TC发动机，目前这款发动机在欧洲和美洲已经投放到市场中，尚未引进国内。</w:t>
      </w:r>
    </w:p>
    <w:p w14:paraId="177ACD69" w14:textId="77777777" w:rsidR="000578B5" w:rsidRDefault="000578B5" w:rsidP="00B528E4">
      <w:r>
        <w:rPr>
          <w:rFonts w:hint="eastAsia"/>
        </w:rPr>
        <w:t>另外根据行业人士透露，目前装配沃尔沃</w:t>
      </w:r>
      <w:r>
        <w:t>D13TC发动机和I-ASave系统的沃尔沃卡车已经在国内进行路试了。据透露，根据测试，装配D13TC发动机和I-Save系统的沃尔沃卡车相对于现款的车型，油耗有明显变化。在相同工况和环境下，新配置的车型油耗可以降低7%以上。</w:t>
      </w:r>
    </w:p>
    <w:p w14:paraId="12F277CB" w14:textId="77777777" w:rsidR="000578B5" w:rsidRPr="00C06BE4" w:rsidRDefault="000578B5" w:rsidP="00B528E4">
      <w:pPr>
        <w:pStyle w:val="a8"/>
        <w:numPr>
          <w:ilvl w:val="3"/>
          <w:numId w:val="17"/>
        </w:numPr>
        <w:ind w:firstLineChars="0"/>
        <w:jc w:val="left"/>
        <w:outlineLvl w:val="1"/>
        <w:rPr>
          <w:b/>
        </w:rPr>
      </w:pPr>
      <w:r w:rsidRPr="00C06BE4">
        <w:rPr>
          <w:rFonts w:hint="eastAsia"/>
          <w:b/>
        </w:rPr>
        <w:t>小米成立第二家汽车公司</w:t>
      </w:r>
      <w:r w:rsidRPr="00C06BE4">
        <w:rPr>
          <w:b/>
        </w:rPr>
        <w:t>注册资本10亿元</w:t>
      </w:r>
    </w:p>
    <w:p w14:paraId="7AEA507A" w14:textId="77777777" w:rsidR="000578B5" w:rsidRDefault="000578B5" w:rsidP="00B528E4">
      <w:r w:rsidRPr="00680090">
        <w:rPr>
          <w:rFonts w:hint="eastAsia"/>
        </w:rPr>
        <w:t>企查查</w:t>
      </w:r>
      <w:r w:rsidRPr="00680090">
        <w:t>App显示，18日，小米汽车科技有限公司成立，法定代表人为雷军，注册资本为10亿元人民币，经营范围包含新能源车整车制造、技术开发等，公司注册地为北京，此前小米曾100亿人民币成立小米汽车有限公司。</w:t>
      </w:r>
    </w:p>
    <w:p w14:paraId="595A5F26" w14:textId="6973A232" w:rsidR="000578B5" w:rsidRPr="00E40E5D" w:rsidRDefault="00E40E5D" w:rsidP="00E40E5D">
      <w:pPr>
        <w:outlineLvl w:val="1"/>
        <w:rPr>
          <w:b/>
        </w:rPr>
      </w:pPr>
      <w:r>
        <w:rPr>
          <w:rFonts w:hint="eastAsia"/>
          <w:b/>
        </w:rPr>
        <w:t>1</w:t>
      </w:r>
      <w:r>
        <w:rPr>
          <w:b/>
        </w:rPr>
        <w:t>1.</w:t>
      </w:r>
      <w:r w:rsidR="000578B5" w:rsidRPr="00E40E5D">
        <w:rPr>
          <w:rFonts w:hint="eastAsia"/>
          <w:b/>
        </w:rPr>
        <w:t>广州车展极氪</w:t>
      </w:r>
      <w:r w:rsidR="000578B5" w:rsidRPr="00E40E5D">
        <w:rPr>
          <w:b/>
        </w:rPr>
        <w:t>ZEEKRCARE发布全新服务品牌</w:t>
      </w:r>
    </w:p>
    <w:p w14:paraId="7B012797" w14:textId="77777777" w:rsidR="000578B5" w:rsidRDefault="000578B5" w:rsidP="000578B5">
      <w:r>
        <w:rPr>
          <w:rFonts w:hint="eastAsia"/>
        </w:rPr>
        <w:t>极氪汽车官方消息称，在</w:t>
      </w:r>
      <w:r>
        <w:t>2021广州车展当中，极氪将发布全新服务品牌“ZEEKRCARE”，更好服务客户。</w:t>
      </w:r>
    </w:p>
    <w:p w14:paraId="7658D68B" w14:textId="77777777" w:rsidR="000578B5" w:rsidRDefault="000578B5" w:rsidP="000578B5">
      <w:r>
        <w:rPr>
          <w:rFonts w:hint="eastAsia"/>
        </w:rPr>
        <w:t>目前，对于全新服务品牌还没有更多细节消息，但可以预见，极氪将有更多服务项目来覆盖客户。随着中国汽车行业越来越成熟，售后服务也是消费者购车时潜在考量标准。更多消息还需等待广州车展官方发布。</w:t>
      </w:r>
    </w:p>
    <w:p w14:paraId="4A36B2D7" w14:textId="6F462C5E" w:rsidR="000578B5" w:rsidRPr="00E40E5D" w:rsidRDefault="00E40E5D" w:rsidP="00E40E5D">
      <w:pPr>
        <w:jc w:val="left"/>
        <w:outlineLvl w:val="1"/>
        <w:rPr>
          <w:b/>
        </w:rPr>
      </w:pPr>
      <w:r>
        <w:rPr>
          <w:rFonts w:hint="eastAsia"/>
          <w:b/>
        </w:rPr>
        <w:t>1</w:t>
      </w:r>
      <w:r>
        <w:rPr>
          <w:b/>
        </w:rPr>
        <w:t>2.</w:t>
      </w:r>
      <w:r w:rsidR="000578B5" w:rsidRPr="00E40E5D">
        <w:rPr>
          <w:rFonts w:hint="eastAsia"/>
          <w:b/>
        </w:rPr>
        <w:t>小鹏汽车宣布</w:t>
      </w:r>
      <w:r w:rsidR="000578B5" w:rsidRPr="00E40E5D">
        <w:rPr>
          <w:b/>
        </w:rPr>
        <w:t>10月上线111座品牌超充站</w:t>
      </w:r>
    </w:p>
    <w:p w14:paraId="2F77CC5B" w14:textId="77777777" w:rsidR="000578B5" w:rsidRDefault="000578B5" w:rsidP="00B528E4">
      <w:r>
        <w:rPr>
          <w:rFonts w:hint="eastAsia"/>
        </w:rPr>
        <w:t>从小鹏汽车官方获悉，小鹏品牌超充站在</w:t>
      </w:r>
      <w:r>
        <w:t>10月上线111座，累计上线达到了550座。截止10月，小鹏超充站已覆盖全国158个城市；目的地充电站已经上线21座，累计上线129座；免费充电站累计上线1734座，覆盖236个城市。已有38座城市迎来了首座小鹏超充品牌站，预计接下来三个月将有超过100个城市会建设小鹏品牌超充站。</w:t>
      </w:r>
    </w:p>
    <w:p w14:paraId="21E78844" w14:textId="77777777" w:rsidR="000578B5" w:rsidRDefault="000578B5" w:rsidP="00B528E4">
      <w:r>
        <w:rPr>
          <w:rFonts w:hint="eastAsia"/>
        </w:rPr>
        <w:t>在小鹏汽车看来，小鹏汽车的超级补能是面向中长期的最好的解决方案之一，小鹏希望在</w:t>
      </w:r>
      <w:r>
        <w:t>2023年年内完成相关布局。</w:t>
      </w:r>
    </w:p>
    <w:p w14:paraId="611793BB" w14:textId="569369B4" w:rsidR="000578B5" w:rsidRPr="00E40E5D" w:rsidRDefault="00E40E5D" w:rsidP="00E40E5D">
      <w:pPr>
        <w:jc w:val="left"/>
        <w:outlineLvl w:val="1"/>
        <w:rPr>
          <w:b/>
        </w:rPr>
      </w:pPr>
      <w:r>
        <w:rPr>
          <w:rFonts w:hint="eastAsia"/>
          <w:b/>
        </w:rPr>
        <w:t>1</w:t>
      </w:r>
      <w:r>
        <w:rPr>
          <w:b/>
        </w:rPr>
        <w:t>3.</w:t>
      </w:r>
      <w:r w:rsidR="000578B5" w:rsidRPr="00E40E5D">
        <w:rPr>
          <w:b/>
        </w:rPr>
        <w:t>爱驰汽车</w:t>
      </w:r>
      <w:r w:rsidR="000578B5" w:rsidRPr="00E40E5D">
        <w:rPr>
          <w:rFonts w:hint="eastAsia"/>
          <w:b/>
        </w:rPr>
        <w:t>与国美跨界合作</w:t>
      </w:r>
      <w:r w:rsidR="000578B5" w:rsidRPr="00E40E5D">
        <w:rPr>
          <w:b/>
        </w:rPr>
        <w:t>新零售渠道再发力</w:t>
      </w:r>
    </w:p>
    <w:p w14:paraId="608B5B14" w14:textId="77777777" w:rsidR="000578B5" w:rsidRDefault="000578B5" w:rsidP="00B528E4">
      <w:r>
        <w:rPr>
          <w:rFonts w:hint="eastAsia"/>
        </w:rPr>
        <w:t>爱驰汽车与国美开启合作，通过线上</w:t>
      </w:r>
      <w:r>
        <w:t>+线下的新零售渠道模式，整合双方优势资源，在品牌传播与营销、流量曝光、快闪合作、线下体验店入驻等全渠道深入合作。</w:t>
      </w:r>
    </w:p>
    <w:p w14:paraId="5D31E88E" w14:textId="77777777" w:rsidR="000578B5" w:rsidRDefault="000578B5" w:rsidP="00B528E4">
      <w:r>
        <w:rPr>
          <w:rFonts w:hint="eastAsia"/>
        </w:rPr>
        <w:t>目前，爱驰汽车在线上通过国美汽车真快乐、小美帮帮线上平台开展公域流量及私域流量运营，在推荐模式上未来还将进一步展开合作，尤其是国美小美帮帮的经纪人模式，通过推荐形式全面深度挖掘，扩大圈层营销，实现用户社交裂变；线下，爱驰已在上海、杭州等国美门店开展快闪合作，未来还将入驻国美汽车首家汽车体验店，全面开展新零售渠道合作。</w:t>
      </w:r>
    </w:p>
    <w:p w14:paraId="232B346B" w14:textId="4F8DDADC" w:rsidR="000578B5" w:rsidRPr="00E40E5D" w:rsidRDefault="00E40E5D" w:rsidP="00E40E5D">
      <w:pPr>
        <w:jc w:val="left"/>
        <w:outlineLvl w:val="1"/>
        <w:rPr>
          <w:b/>
        </w:rPr>
      </w:pPr>
      <w:r>
        <w:rPr>
          <w:rFonts w:hint="eastAsia"/>
          <w:b/>
        </w:rPr>
        <w:t>1</w:t>
      </w:r>
      <w:r>
        <w:rPr>
          <w:b/>
        </w:rPr>
        <w:t>4</w:t>
      </w:r>
      <w:r w:rsidR="000578B5" w:rsidRPr="00E40E5D">
        <w:rPr>
          <w:rFonts w:hint="eastAsia"/>
          <w:b/>
        </w:rPr>
        <w:t>长城沙龙品牌来了</w:t>
      </w:r>
      <w:r w:rsidR="000578B5" w:rsidRPr="00E40E5D">
        <w:rPr>
          <w:b/>
        </w:rPr>
        <w:t>首款车型将亮相广州车展</w:t>
      </w:r>
    </w:p>
    <w:p w14:paraId="4B86BD58" w14:textId="77777777" w:rsidR="000578B5" w:rsidRDefault="000578B5" w:rsidP="00B528E4">
      <w:r>
        <w:t>11月12日，有媒体从沙龙汽车官方了解到，在2021广州车展中，沙龙汽车将携首款车型亮相现场，开启品牌新阶段。</w:t>
      </w:r>
    </w:p>
    <w:p w14:paraId="0B1AB5F5" w14:textId="77777777" w:rsidR="000578B5" w:rsidRDefault="000578B5" w:rsidP="00B528E4">
      <w:r>
        <w:rPr>
          <w:rFonts w:hint="eastAsia"/>
        </w:rPr>
        <w:t>“这是品牌第一次亮相。”同日，长城汽车公关部人士向媒体确认了参展消息，该人士称，届时会有新车展出。</w:t>
      </w:r>
    </w:p>
    <w:p w14:paraId="1AC33B71" w14:textId="101209FC" w:rsidR="000578B5" w:rsidRDefault="000578B5" w:rsidP="00B528E4">
      <w:r>
        <w:rPr>
          <w:rFonts w:hint="eastAsia"/>
        </w:rPr>
        <w:t>按照规划，目前沙龙品牌主要押注“氢电”双能。据长城汽车沙龙智行</w:t>
      </w:r>
      <w:r>
        <w:t>CEO文飞今年6月在《致沙龙新伙伴的一封信》中称，沙龙品牌的目标是成为全球第一的氢电双能豪华品牌。</w:t>
      </w:r>
    </w:p>
    <w:p w14:paraId="1F15C23E" w14:textId="77777777" w:rsidR="00E40E5D" w:rsidRDefault="00E40E5D" w:rsidP="00B528E4"/>
    <w:p w14:paraId="6EF8582E" w14:textId="77777777" w:rsidR="00B528E4" w:rsidRPr="00D02F70" w:rsidRDefault="00B528E4" w:rsidP="00B528E4">
      <w:pPr>
        <w:pStyle w:val="a8"/>
        <w:numPr>
          <w:ilvl w:val="0"/>
          <w:numId w:val="4"/>
        </w:numPr>
        <w:ind w:firstLineChars="0"/>
        <w:outlineLvl w:val="0"/>
        <w:rPr>
          <w:b/>
        </w:rPr>
      </w:pPr>
      <w:r>
        <w:rPr>
          <w:rFonts w:hint="eastAsia"/>
          <w:b/>
        </w:rPr>
        <w:t>行业信息</w:t>
      </w:r>
    </w:p>
    <w:p w14:paraId="7902AAF7" w14:textId="6E259475" w:rsidR="000578B5" w:rsidRDefault="00E40E5D" w:rsidP="00E40E5D">
      <w:pPr>
        <w:jc w:val="left"/>
        <w:outlineLvl w:val="1"/>
      </w:pPr>
      <w:r>
        <w:rPr>
          <w:b/>
        </w:rPr>
        <w:t>1.</w:t>
      </w:r>
      <w:r w:rsidR="000578B5" w:rsidRPr="00E40E5D">
        <w:rPr>
          <w:b/>
        </w:rPr>
        <w:t>AutoX建成中国首个全区的RoboTaxi运营区</w:t>
      </w:r>
    </w:p>
    <w:p w14:paraId="7665CD46" w14:textId="77777777" w:rsidR="000578B5" w:rsidRDefault="000578B5" w:rsidP="000578B5">
      <w:r>
        <w:t>从AutoX安途官方获悉，其已建成中国首个全区、全域、全车无人驾驶的RoboTaxi运营区。具体来看，AutoX这一运营区已完全覆盖深圳市坪山区大小街道，全域168平方公里，是截止目前中国面积最大的完全无人驾驶运营域。</w:t>
      </w:r>
    </w:p>
    <w:p w14:paraId="7E26D1C1" w14:textId="69F03FE1" w:rsidR="000578B5" w:rsidRPr="00E40E5D" w:rsidRDefault="00E40E5D" w:rsidP="00E40E5D">
      <w:pPr>
        <w:outlineLvl w:val="1"/>
        <w:rPr>
          <w:b/>
        </w:rPr>
      </w:pPr>
      <w:r>
        <w:rPr>
          <w:rFonts w:hint="eastAsia"/>
          <w:b/>
        </w:rPr>
        <w:t>2</w:t>
      </w:r>
      <w:r>
        <w:rPr>
          <w:b/>
        </w:rPr>
        <w:t>.</w:t>
      </w:r>
      <w:r w:rsidR="000578B5" w:rsidRPr="00E40E5D">
        <w:rPr>
          <w:rFonts w:hint="eastAsia"/>
          <w:b/>
        </w:rPr>
        <w:t>安徽最大单体二手车市场落成</w:t>
      </w:r>
    </w:p>
    <w:p w14:paraId="3249CEE7" w14:textId="77777777" w:rsidR="000578B5" w:rsidRDefault="000578B5" w:rsidP="00B528E4">
      <w:r>
        <w:t>11月17日，安徽最大单体二手车市场日前正式落户合肥。该二手车卖场总面积近10万平方米，最多能容纳2800台车，为消费者提供一站式全流程服务体验，引领安徽二手车市场正规化、品牌化、标准化发展。</w:t>
      </w:r>
    </w:p>
    <w:p w14:paraId="54933C13" w14:textId="77777777" w:rsidR="000578B5" w:rsidRDefault="000578B5" w:rsidP="00B528E4">
      <w:r>
        <w:rPr>
          <w:rFonts w:hint="eastAsia"/>
        </w:rPr>
        <w:t>该大卖场由中国二手车上市第一股优信集团运营。其坐落于合肥市瑶海区关井路，由四栋综合楼组成，具备仓储、售卖、检测、整备洗美、售后保障、物流等全功能。</w:t>
      </w:r>
    </w:p>
    <w:p w14:paraId="22B93600" w14:textId="2C006EC5" w:rsidR="000578B5" w:rsidRPr="00E40E5D" w:rsidRDefault="000578B5" w:rsidP="00B528E4">
      <w:r>
        <w:rPr>
          <w:rFonts w:hint="eastAsia"/>
        </w:rPr>
        <w:t>优信集团副总裁谭晓博表示，安徽省是华中地区汽车消费发展最快的区域之一，截止</w:t>
      </w:r>
      <w:r>
        <w:t>2021年6月，合肥机动车保有量达到262</w:t>
      </w:r>
      <w:r w:rsidR="00926EB3">
        <w:t>万辆</w:t>
      </w:r>
      <w:r>
        <w:t>，二手车市场通畅对汽车消费起到重要作用。</w:t>
      </w:r>
    </w:p>
    <w:p w14:paraId="3659608A" w14:textId="15A931FF" w:rsidR="000578B5" w:rsidRPr="00E40E5D" w:rsidRDefault="00E40E5D" w:rsidP="00E40E5D">
      <w:pPr>
        <w:outlineLvl w:val="1"/>
        <w:rPr>
          <w:b/>
        </w:rPr>
      </w:pPr>
      <w:r>
        <w:rPr>
          <w:rFonts w:hint="eastAsia"/>
          <w:b/>
        </w:rPr>
        <w:t>3</w:t>
      </w:r>
      <w:r>
        <w:rPr>
          <w:b/>
        </w:rPr>
        <w:t>.</w:t>
      </w:r>
      <w:r w:rsidR="000578B5" w:rsidRPr="00E40E5D">
        <w:rPr>
          <w:rFonts w:hint="eastAsia"/>
          <w:b/>
        </w:rPr>
        <w:t>部分新能源车保费较燃油车约高</w:t>
      </w:r>
      <w:r w:rsidR="000578B5" w:rsidRPr="00E40E5D">
        <w:rPr>
          <w:b/>
        </w:rPr>
        <w:t>21%</w:t>
      </w:r>
    </w:p>
    <w:p w14:paraId="1DD94D00" w14:textId="77777777" w:rsidR="000578B5" w:rsidRDefault="000578B5" w:rsidP="00B528E4">
      <w:r>
        <w:rPr>
          <w:rFonts w:hint="eastAsia"/>
        </w:rPr>
        <w:t>中国保信发布了新能源汽车的保险市场分析报告。报告显示，新能源汽车平均保费比传统燃油车高出</w:t>
      </w:r>
      <w:r>
        <w:t>21%。从案均赔款来看，新能源汽车略高于燃油车的2.8%。家用车中新能源汽车出险率远高于非新能源汽车，高出11.7个百分点，其赔付率高出5.4个百分点。</w:t>
      </w:r>
    </w:p>
    <w:p w14:paraId="240C1BBE" w14:textId="5960801B" w:rsidR="000578B5" w:rsidRPr="00E40E5D" w:rsidRDefault="000578B5" w:rsidP="00B528E4">
      <w:r>
        <w:rPr>
          <w:rFonts w:hint="eastAsia"/>
        </w:rPr>
        <w:t>据中保信统计的数据显示，</w:t>
      </w:r>
      <w:r>
        <w:t>2013年~2017年的年均承保新能源汽车量增速达78.6%，年均保费增速72%。2017年新能源汽车承保车辆数达171.7万，同比增速47%，保费规模为101.6亿元，同比增速50.4%。</w:t>
      </w:r>
    </w:p>
    <w:p w14:paraId="7F910277" w14:textId="6D90614C" w:rsidR="000578B5" w:rsidRDefault="00E40E5D" w:rsidP="00E40E5D">
      <w:pPr>
        <w:jc w:val="left"/>
        <w:outlineLvl w:val="1"/>
      </w:pPr>
      <w:r>
        <w:rPr>
          <w:rFonts w:hint="eastAsia"/>
          <w:b/>
        </w:rPr>
        <w:t>4</w:t>
      </w:r>
      <w:r>
        <w:rPr>
          <w:b/>
        </w:rPr>
        <w:t>.</w:t>
      </w:r>
      <w:r w:rsidR="000578B5" w:rsidRPr="00E40E5D">
        <w:rPr>
          <w:rFonts w:hint="eastAsia"/>
          <w:b/>
        </w:rPr>
        <w:t>蜂巢能源二代</w:t>
      </w:r>
      <w:r w:rsidR="000578B5" w:rsidRPr="00E40E5D">
        <w:rPr>
          <w:b/>
        </w:rPr>
        <w:t>L600短刀片明年上市能量密度超185Wh/kg</w:t>
      </w:r>
    </w:p>
    <w:p w14:paraId="3C6BFC48" w14:textId="012925BE" w:rsidR="000578B5" w:rsidRPr="00E40E5D" w:rsidRDefault="000578B5" w:rsidP="000578B5">
      <w:r w:rsidRPr="00680090">
        <w:t>11月19日，蜂巢能源发布消息称，其第二代L600短刀片磷酸铁锂已经完成开发，预计将在2022年第三季度实现量产。</w:t>
      </w:r>
    </w:p>
    <w:p w14:paraId="15BA27E8" w14:textId="2A241367" w:rsidR="000578B5" w:rsidRPr="00E40E5D" w:rsidRDefault="00E40E5D" w:rsidP="00E40E5D">
      <w:pPr>
        <w:jc w:val="left"/>
        <w:outlineLvl w:val="1"/>
        <w:rPr>
          <w:b/>
        </w:rPr>
      </w:pPr>
      <w:r>
        <w:rPr>
          <w:rFonts w:hint="eastAsia"/>
          <w:b/>
        </w:rPr>
        <w:t>5</w:t>
      </w:r>
      <w:r>
        <w:rPr>
          <w:b/>
        </w:rPr>
        <w:t>.</w:t>
      </w:r>
      <w:r w:rsidR="000578B5" w:rsidRPr="00E40E5D">
        <w:rPr>
          <w:rFonts w:hint="eastAsia"/>
          <w:b/>
        </w:rPr>
        <w:t>力神电池拟在无锡投建年产</w:t>
      </w:r>
      <w:r w:rsidR="000578B5" w:rsidRPr="00E40E5D">
        <w:rPr>
          <w:b/>
        </w:rPr>
        <w:t>24GWh锂电项目</w:t>
      </w:r>
    </w:p>
    <w:p w14:paraId="1EFFD2E6" w14:textId="13FDC3B7" w:rsidR="000578B5" w:rsidRPr="00E40E5D" w:rsidRDefault="000578B5" w:rsidP="000578B5">
      <w:r w:rsidRPr="00AA3436">
        <w:t>11月16日，力神电池新能源产业基地及研发中心项目在无锡签约。项目总投资112亿元，总用地面积约800亩。</w:t>
      </w:r>
    </w:p>
    <w:p w14:paraId="574A8DAE" w14:textId="06D16412" w:rsidR="000578B5" w:rsidRPr="00E40E5D" w:rsidRDefault="00E40E5D" w:rsidP="00E40E5D">
      <w:pPr>
        <w:jc w:val="left"/>
        <w:outlineLvl w:val="1"/>
        <w:rPr>
          <w:b/>
        </w:rPr>
      </w:pPr>
      <w:r>
        <w:rPr>
          <w:rFonts w:hint="eastAsia"/>
          <w:b/>
        </w:rPr>
        <w:t>6</w:t>
      </w:r>
      <w:r>
        <w:rPr>
          <w:b/>
        </w:rPr>
        <w:t>.</w:t>
      </w:r>
      <w:r w:rsidR="000578B5" w:rsidRPr="00E40E5D">
        <w:rPr>
          <w:b/>
        </w:rPr>
        <w:t>宁德时代加速布局厦门市场80亿建厂</w:t>
      </w:r>
    </w:p>
    <w:p w14:paraId="622A3B07" w14:textId="77777777" w:rsidR="000578B5" w:rsidRDefault="000578B5" w:rsidP="000578B5">
      <w:r>
        <w:t>11月15日，宁德时代新能源科技股份有限公司与厦门建发集团有限公司在宁德签署战略合作协议。</w:t>
      </w:r>
    </w:p>
    <w:p w14:paraId="48BAD777" w14:textId="7955350D" w:rsidR="000578B5" w:rsidRPr="00E40E5D" w:rsidRDefault="000578B5" w:rsidP="000578B5">
      <w:r>
        <w:rPr>
          <w:rFonts w:hint="eastAsia"/>
        </w:rPr>
        <w:t>根据协议，宁德时代与建发集团将着眼于战略发展需要，充分发挥各自优势，在电池应用场景的商业模式创新、新能源汽车产业、供应链业务合作等多领域展开合作交流。未来，双方将立足创新发展、互利共赢的合作模式，为新能源市场应用提供一流解决方案，助力“双碳”目标的实现。</w:t>
      </w:r>
    </w:p>
    <w:p w14:paraId="42E8DAA1" w14:textId="6F9FBA04" w:rsidR="000578B5" w:rsidRPr="00E40E5D" w:rsidRDefault="00E40E5D" w:rsidP="00E40E5D">
      <w:pPr>
        <w:jc w:val="left"/>
        <w:outlineLvl w:val="1"/>
        <w:rPr>
          <w:b/>
        </w:rPr>
      </w:pPr>
      <w:r>
        <w:rPr>
          <w:rFonts w:hint="eastAsia"/>
          <w:b/>
        </w:rPr>
        <w:t>7</w:t>
      </w:r>
      <w:r>
        <w:rPr>
          <w:b/>
        </w:rPr>
        <w:t>.</w:t>
      </w:r>
      <w:r w:rsidR="000578B5" w:rsidRPr="00E40E5D">
        <w:rPr>
          <w:rFonts w:hint="eastAsia"/>
          <w:b/>
        </w:rPr>
        <w:t>宁德时代未再提价</w:t>
      </w:r>
      <w:r w:rsidR="000578B5" w:rsidRPr="00E40E5D">
        <w:rPr>
          <w:b/>
        </w:rPr>
        <w:t>美洲锂业4亿美元收购千禧锂业</w:t>
      </w:r>
    </w:p>
    <w:p w14:paraId="0C01E8D9" w14:textId="38D5FE38" w:rsidR="000578B5" w:rsidRPr="00E40E5D" w:rsidRDefault="000578B5" w:rsidP="000578B5">
      <w:r>
        <w:t>11月17日，加拿大锂业公司美洲锂业（LithiumAmericasCorp.）和千禧锂业（MillennialLithium）共同宣布，前者将以4亿美元的对价收购后者所有已发行和普通流通股，千禧锂业的股东将持有美洲锂业约9.1%股份。</w:t>
      </w:r>
    </w:p>
    <w:p w14:paraId="404E7AEA" w14:textId="74E3196B" w:rsidR="000578B5" w:rsidRPr="00E40E5D" w:rsidRDefault="00E40E5D" w:rsidP="00E40E5D">
      <w:pPr>
        <w:outlineLvl w:val="1"/>
        <w:rPr>
          <w:b/>
        </w:rPr>
      </w:pPr>
      <w:r>
        <w:rPr>
          <w:rFonts w:hint="eastAsia"/>
          <w:b/>
        </w:rPr>
        <w:t>8</w:t>
      </w:r>
      <w:r>
        <w:rPr>
          <w:b/>
        </w:rPr>
        <w:t>.</w:t>
      </w:r>
      <w:r w:rsidR="000578B5" w:rsidRPr="00E40E5D">
        <w:rPr>
          <w:rFonts w:hint="eastAsia"/>
          <w:b/>
        </w:rPr>
        <w:t>全球首发车</w:t>
      </w:r>
      <w:r w:rsidR="000578B5" w:rsidRPr="00E40E5D">
        <w:rPr>
          <w:b/>
        </w:rPr>
        <w:t>54台第十九届广州国际车展开幕</w:t>
      </w:r>
    </w:p>
    <w:p w14:paraId="1DCE31AF" w14:textId="77777777" w:rsidR="000578B5" w:rsidRDefault="000578B5" w:rsidP="00B528E4">
      <w:r>
        <w:t>11月19日，第十九届广州国际汽车展览会于中国进出口商品交易会展馆正式开幕。其中11月19日为媒体日，仅对国内外媒体及特邀嘉宾开放。汽车零部件及用品、汽车改装、新能源、新技术等题材展区的展期为11月19日至22日。</w:t>
      </w:r>
    </w:p>
    <w:p w14:paraId="7399E68B" w14:textId="2133AC3F" w:rsidR="000578B5" w:rsidRPr="00E40E5D" w:rsidRDefault="000578B5" w:rsidP="00B528E4">
      <w:r>
        <w:rPr>
          <w:rFonts w:hint="eastAsia"/>
        </w:rPr>
        <w:t>据悉，本届广州汽车展共有全球首发车</w:t>
      </w:r>
      <w:r>
        <w:t>54</w:t>
      </w:r>
      <w:r w:rsidR="00CB1AA8">
        <w:rPr>
          <w:rFonts w:hint="eastAsia"/>
        </w:rPr>
        <w:t>辆</w:t>
      </w:r>
      <w:r>
        <w:t>，跨国公司首发车7</w:t>
      </w:r>
      <w:r w:rsidR="00CB1AA8">
        <w:rPr>
          <w:rFonts w:hint="eastAsia"/>
        </w:rPr>
        <w:t>辆</w:t>
      </w:r>
      <w:r>
        <w:t>；概念车28</w:t>
      </w:r>
      <w:r w:rsidR="00CB1AA8">
        <w:rPr>
          <w:rFonts w:hint="eastAsia"/>
        </w:rPr>
        <w:t>辆</w:t>
      </w:r>
      <w:r>
        <w:t>，其中国际品牌展车9</w:t>
      </w:r>
      <w:r w:rsidR="00CB1AA8">
        <w:rPr>
          <w:rFonts w:hint="eastAsia"/>
        </w:rPr>
        <w:t>辆</w:t>
      </w:r>
      <w:r>
        <w:t>；国内外参展车企共展出新能源车241</w:t>
      </w:r>
      <w:r w:rsidR="00CB1AA8">
        <w:rPr>
          <w:rFonts w:hint="eastAsia"/>
        </w:rPr>
        <w:t>辆，</w:t>
      </w:r>
      <w:r>
        <w:t>其中国外品牌展车88</w:t>
      </w:r>
      <w:r w:rsidR="00CB1AA8">
        <w:rPr>
          <w:rFonts w:hint="eastAsia"/>
        </w:rPr>
        <w:t>辆</w:t>
      </w:r>
      <w:r>
        <w:t>。展车总数达1020</w:t>
      </w:r>
      <w:r w:rsidR="00CB1AA8">
        <w:rPr>
          <w:rFonts w:hint="eastAsia"/>
        </w:rPr>
        <w:t>辆</w:t>
      </w:r>
      <w:r>
        <w:t>。</w:t>
      </w:r>
    </w:p>
    <w:p w14:paraId="722E45A0" w14:textId="29114B0B" w:rsidR="000578B5" w:rsidRPr="00E40E5D" w:rsidRDefault="00E40E5D" w:rsidP="00E40E5D">
      <w:pPr>
        <w:jc w:val="left"/>
        <w:outlineLvl w:val="1"/>
        <w:rPr>
          <w:b/>
        </w:rPr>
      </w:pPr>
      <w:r>
        <w:rPr>
          <w:rFonts w:hint="eastAsia"/>
          <w:b/>
        </w:rPr>
        <w:t>9</w:t>
      </w:r>
      <w:r w:rsidR="00CB1AA8">
        <w:rPr>
          <w:b/>
        </w:rPr>
        <w:t>.</w:t>
      </w:r>
      <w:r w:rsidR="000578B5" w:rsidRPr="00E40E5D">
        <w:rPr>
          <w:rFonts w:hint="eastAsia"/>
          <w:b/>
        </w:rPr>
        <w:t>西藏珠峰阿根廷</w:t>
      </w:r>
      <w:r w:rsidR="000578B5" w:rsidRPr="00E40E5D">
        <w:rPr>
          <w:b/>
        </w:rPr>
        <w:t>17亿美元盐湖提锂项目启动</w:t>
      </w:r>
    </w:p>
    <w:p w14:paraId="3AF594C9" w14:textId="51089AE4" w:rsidR="000578B5" w:rsidRPr="00CB1AA8" w:rsidRDefault="000578B5" w:rsidP="000578B5">
      <w:r w:rsidRPr="00AA3436">
        <w:t>11月16日，西藏珠峰发布消息称，公司与阿根廷萨尔塔省政府签署《投资协议》，这也标志着西藏珠峰在阿根廷规划总投资额17亿美元的两个盐湖开发项目启动。</w:t>
      </w:r>
    </w:p>
    <w:p w14:paraId="7A59BC42" w14:textId="25E3A3D8" w:rsidR="000578B5" w:rsidRPr="00CB1AA8" w:rsidRDefault="00CB1AA8" w:rsidP="00CB1AA8">
      <w:pPr>
        <w:jc w:val="left"/>
        <w:outlineLvl w:val="1"/>
        <w:rPr>
          <w:b/>
        </w:rPr>
      </w:pPr>
      <w:r>
        <w:rPr>
          <w:rFonts w:hint="eastAsia"/>
          <w:b/>
        </w:rPr>
        <w:t>1</w:t>
      </w:r>
      <w:r>
        <w:rPr>
          <w:b/>
        </w:rPr>
        <w:t>0.</w:t>
      </w:r>
      <w:r w:rsidR="000578B5" w:rsidRPr="00CB1AA8">
        <w:rPr>
          <w:rFonts w:hint="eastAsia"/>
          <w:b/>
        </w:rPr>
        <w:t>中航锂电调高产能规划目标</w:t>
      </w:r>
      <w:r w:rsidR="000578B5" w:rsidRPr="00CB1AA8">
        <w:rPr>
          <w:b/>
        </w:rPr>
        <w:t>2025年将超500GWh</w:t>
      </w:r>
    </w:p>
    <w:p w14:paraId="5F9816A0" w14:textId="77777777" w:rsidR="000578B5" w:rsidRDefault="000578B5" w:rsidP="000578B5">
      <w:r>
        <w:t>11月17日，中航锂电举行战略发布会，公司董事长刘静瑜表示，中航锂电到2025年的产能规划将超过500GWh，并预计在2030年实现1TWh的产能。</w:t>
      </w:r>
    </w:p>
    <w:p w14:paraId="34710A04" w14:textId="1745D1C8" w:rsidR="000578B5" w:rsidRPr="00CB1AA8" w:rsidRDefault="00CB1AA8" w:rsidP="00CB1AA8">
      <w:pPr>
        <w:jc w:val="left"/>
        <w:outlineLvl w:val="1"/>
        <w:rPr>
          <w:b/>
        </w:rPr>
      </w:pPr>
      <w:r>
        <w:rPr>
          <w:rFonts w:hint="eastAsia"/>
          <w:b/>
        </w:rPr>
        <w:t>1</w:t>
      </w:r>
      <w:r>
        <w:rPr>
          <w:b/>
        </w:rPr>
        <w:t>1.</w:t>
      </w:r>
      <w:r w:rsidR="000578B5" w:rsidRPr="00CB1AA8">
        <w:rPr>
          <w:rFonts w:hint="eastAsia"/>
          <w:b/>
        </w:rPr>
        <w:t>珠海冠宇拟</w:t>
      </w:r>
      <w:r w:rsidR="000578B5" w:rsidRPr="00CB1AA8">
        <w:rPr>
          <w:b/>
        </w:rPr>
        <w:t>40亿元投建年产10GWh锂电项目</w:t>
      </w:r>
    </w:p>
    <w:p w14:paraId="6F9A1B22" w14:textId="77777777" w:rsidR="000578B5" w:rsidRDefault="000578B5" w:rsidP="000578B5">
      <w:r>
        <w:t>11月18日，珠海冠宇发布公告称，公司全资子公司浙江冠宇计划在浙江省嘉兴市海盐县百步经开区，新建年产10GWh动力电池生产车间及配套、企业研究院等项目。</w:t>
      </w:r>
    </w:p>
    <w:p w14:paraId="060FE5D6" w14:textId="77777777" w:rsidR="000578B5" w:rsidRDefault="000578B5" w:rsidP="000578B5">
      <w:r>
        <w:rPr>
          <w:rFonts w:hint="eastAsia"/>
        </w:rPr>
        <w:t>公告显示，项目建设用地约</w:t>
      </w:r>
      <w:r>
        <w:t>395亩，总投资额40亿元，资金来源为自有或自筹资金，项目预计2022年开始建设，建设期为36个月。</w:t>
      </w:r>
    </w:p>
    <w:p w14:paraId="2AF0E73C" w14:textId="242A2495" w:rsidR="000578B5" w:rsidRDefault="000578B5" w:rsidP="000578B5">
      <w:pPr>
        <w:rPr>
          <w:rFonts w:cs="宋体"/>
          <w:b/>
          <w:bCs/>
          <w:i/>
          <w:iCs/>
        </w:rPr>
      </w:pPr>
    </w:p>
    <w:p w14:paraId="19D39063" w14:textId="77777777" w:rsidR="00B528E4" w:rsidRPr="00CC5738" w:rsidRDefault="00B528E4" w:rsidP="00B528E4">
      <w:pPr>
        <w:pStyle w:val="a8"/>
        <w:numPr>
          <w:ilvl w:val="0"/>
          <w:numId w:val="4"/>
        </w:numPr>
        <w:ind w:firstLineChars="0"/>
        <w:outlineLvl w:val="0"/>
        <w:rPr>
          <w:b/>
        </w:rPr>
      </w:pPr>
      <w:r w:rsidRPr="002009FE">
        <w:rPr>
          <w:rFonts w:cs="宋体" w:hint="eastAsia"/>
          <w:b/>
          <w:bCs/>
        </w:rPr>
        <w:t>跨国集团和国际市场</w:t>
      </w:r>
    </w:p>
    <w:p w14:paraId="4E4EBE5D" w14:textId="77777777" w:rsidR="00C22FFE" w:rsidRPr="00DF01AE" w:rsidRDefault="00C22FFE" w:rsidP="00B528E4">
      <w:pPr>
        <w:pStyle w:val="a8"/>
        <w:numPr>
          <w:ilvl w:val="0"/>
          <w:numId w:val="21"/>
        </w:numPr>
        <w:ind w:firstLineChars="0"/>
        <w:outlineLvl w:val="1"/>
        <w:rPr>
          <w:b/>
        </w:rPr>
      </w:pPr>
      <w:r w:rsidRPr="00DF01AE">
        <w:rPr>
          <w:b/>
        </w:rPr>
        <w:t>Lucid或于2025年在中东和中国建厂</w:t>
      </w:r>
    </w:p>
    <w:p w14:paraId="3DE9CB81" w14:textId="77777777" w:rsidR="00C22FFE" w:rsidRDefault="00C22FFE" w:rsidP="00B528E4">
      <w:r>
        <w:t>11月16日，LucidMotors首席执行官PeterRawlinson表示，该公司计划在2025年前在中国和中东新建工厂。</w:t>
      </w:r>
    </w:p>
    <w:p w14:paraId="67F0F183" w14:textId="6EA2579E" w:rsidR="00C22FFE" w:rsidRDefault="00C22FFE" w:rsidP="00B528E4">
      <w:r>
        <w:t>Lucid的旗舰工厂位于美国亚利桑那州的卡萨格兰德，该公司已于9月开始在该厂开始商业化生产。Lucid预计将在明年生产2万辆Air轿车，该公司在7月首次提出这一生产计划，并于11月15日确认了该计划。</w:t>
      </w:r>
    </w:p>
    <w:p w14:paraId="216E0E93" w14:textId="77777777" w:rsidR="00C22FFE" w:rsidRPr="00BE032F" w:rsidRDefault="00C22FFE" w:rsidP="00B528E4">
      <w:pPr>
        <w:pStyle w:val="a8"/>
        <w:numPr>
          <w:ilvl w:val="0"/>
          <w:numId w:val="21"/>
        </w:numPr>
        <w:ind w:firstLineChars="0"/>
        <w:outlineLvl w:val="1"/>
        <w:rPr>
          <w:b/>
        </w:rPr>
      </w:pPr>
      <w:r w:rsidRPr="00BE032F">
        <w:rPr>
          <w:b/>
        </w:rPr>
        <w:t>Rivian第二座工厂选址或为美国佐治亚州</w:t>
      </w:r>
    </w:p>
    <w:p w14:paraId="1631EB08" w14:textId="77777777" w:rsidR="00C22FFE" w:rsidRDefault="00C22FFE" w:rsidP="00B528E4">
      <w:r>
        <w:rPr>
          <w:rFonts w:hint="eastAsia"/>
        </w:rPr>
        <w:t>美国电动卡车制造商</w:t>
      </w:r>
      <w:r>
        <w:t>Rivian正在就美国佐治亚州亚特兰大东部的一块土地进行最后阶段的谈判，这块土地可能会成为Rivian生产电动汽车和电池的新工厂的选址。</w:t>
      </w:r>
    </w:p>
    <w:p w14:paraId="1D050661" w14:textId="052B7876" w:rsidR="00C22FFE" w:rsidRPr="00CB1AA8" w:rsidRDefault="00C22FFE" w:rsidP="00B528E4">
      <w:r>
        <w:rPr>
          <w:rFonts w:hint="eastAsia"/>
        </w:rPr>
        <w:t>知情人士告诉《亚特兰大宪报》，该工厂可能的选址有佐治亚州亚特兰大的“摩根县、牛顿县和沃尔顿县”，不过，目前谈判的选址可能不是最终结果，细节可能会改变。</w:t>
      </w:r>
    </w:p>
    <w:p w14:paraId="64D26EC2" w14:textId="77777777" w:rsidR="00C22FFE" w:rsidRPr="009E3D46" w:rsidRDefault="00C22FFE" w:rsidP="00B528E4">
      <w:pPr>
        <w:pStyle w:val="a8"/>
        <w:numPr>
          <w:ilvl w:val="0"/>
          <w:numId w:val="21"/>
        </w:numPr>
        <w:ind w:firstLineChars="0"/>
        <w:outlineLvl w:val="1"/>
        <w:rPr>
          <w:b/>
        </w:rPr>
      </w:pPr>
      <w:r w:rsidRPr="009E3D46">
        <w:rPr>
          <w:b/>
        </w:rPr>
        <w:t>Rivian市值1530亿美元成全球第三大车企</w:t>
      </w:r>
    </w:p>
    <w:p w14:paraId="4C36C7A7" w14:textId="097CB748" w:rsidR="00C22FFE" w:rsidRPr="00CB1AA8" w:rsidRDefault="00C22FFE" w:rsidP="00B528E4">
      <w:r w:rsidRPr="00AA3436">
        <w:t>11月16日，Rivian股价再涨15%，市值上升到1530亿美元，超过大众汽车(1390亿美元)，成为仅次于特斯拉和丰田的全球第三大汽车制造商。</w:t>
      </w:r>
    </w:p>
    <w:p w14:paraId="6C963432" w14:textId="77777777" w:rsidR="00C22FFE" w:rsidRPr="00DF01AE" w:rsidRDefault="00C22FFE" w:rsidP="00B528E4">
      <w:pPr>
        <w:pStyle w:val="a8"/>
        <w:numPr>
          <w:ilvl w:val="0"/>
          <w:numId w:val="21"/>
        </w:numPr>
        <w:ind w:firstLineChars="0"/>
        <w:outlineLvl w:val="1"/>
        <w:rPr>
          <w:b/>
        </w:rPr>
      </w:pPr>
      <w:r w:rsidRPr="00DF01AE">
        <w:rPr>
          <w:rFonts w:hint="eastAsia"/>
          <w:b/>
        </w:rPr>
        <w:t>拜登参观通用电动车工厂</w:t>
      </w:r>
    </w:p>
    <w:p w14:paraId="595D5CE5" w14:textId="77777777" w:rsidR="00C22FFE" w:rsidRDefault="00C22FFE" w:rsidP="00B528E4">
      <w:r>
        <w:rPr>
          <w:rFonts w:hint="eastAsia"/>
        </w:rPr>
        <w:t>美东时间</w:t>
      </w:r>
      <w:r>
        <w:t>11月17日，美国总统拜登参观了通用汽车底特律电动车工厂，还试驾了该工厂生产的电动悍马。拜登在参观时表示，他签署的5,500亿美元基础设施法案将有助于推动美国制造的电动汽车的销量。</w:t>
      </w:r>
    </w:p>
    <w:p w14:paraId="6DC1AB69" w14:textId="77777777" w:rsidR="00C22FFE" w:rsidRDefault="00C22FFE" w:rsidP="00B528E4">
      <w:r>
        <w:rPr>
          <w:rFonts w:hint="eastAsia"/>
        </w:rPr>
        <w:t>拜登表示，该法案和他的“</w:t>
      </w:r>
      <w:r>
        <w:t>BuildBackBetter”提案（美国版“一带一路”）将推动汽车电池、零部件和其他原材料的销售。</w:t>
      </w:r>
    </w:p>
    <w:p w14:paraId="711D8C90" w14:textId="2A3D3CB0" w:rsidR="00C22FFE" w:rsidRDefault="00C22FFE" w:rsidP="00B528E4">
      <w:r>
        <w:rPr>
          <w:rFonts w:hint="eastAsia"/>
        </w:rPr>
        <w:t>拜登基建法案不仅包括支出</w:t>
      </w:r>
      <w:r>
        <w:t>75亿美元建造约40万个新的充电站，还包括投资数十亿美元用于公路、铁路和港口建设。这个法案对于美国政府事关重大，白宫官员希望该法案能扭转美国人民对拜登的看法(拜登支持率下降)，并且提振美国的经济地位。</w:t>
      </w:r>
    </w:p>
    <w:p w14:paraId="15A665A7" w14:textId="77777777" w:rsidR="00C22FFE" w:rsidRPr="009E3D46" w:rsidRDefault="00C22FFE" w:rsidP="00B528E4">
      <w:pPr>
        <w:pStyle w:val="a8"/>
        <w:numPr>
          <w:ilvl w:val="0"/>
          <w:numId w:val="21"/>
        </w:numPr>
        <w:ind w:firstLineChars="0"/>
        <w:outlineLvl w:val="1"/>
        <w:rPr>
          <w:b/>
        </w:rPr>
      </w:pPr>
      <w:r w:rsidRPr="009E3D46">
        <w:rPr>
          <w:rFonts w:hint="eastAsia"/>
          <w:b/>
        </w:rPr>
        <w:t>宝马将使用高通自动驾驶方案</w:t>
      </w:r>
      <w:r w:rsidRPr="009E3D46">
        <w:rPr>
          <w:b/>
        </w:rPr>
        <w:t>2025年量产</w:t>
      </w:r>
    </w:p>
    <w:p w14:paraId="47341E1C" w14:textId="475D1EED" w:rsidR="00C22FFE" w:rsidRPr="00CB1AA8" w:rsidRDefault="00C22FFE" w:rsidP="00B528E4">
      <w:r w:rsidRPr="00AA3436">
        <w:t>11月16日，高通总裁兼CEO克里斯蒂亚诺-安蒙（CristianoAmon）在高通2021投资者大会上宣布，高通与宝马达成在自动驾驶领域的合作，宝马将在2025年投产的下一代高阶智能驾驶系统中采用高通SnapdragonRide平台，包括中央计算芯片、计算视觉SoC和高通Car-to-Cloud服务平台。</w:t>
      </w:r>
    </w:p>
    <w:p w14:paraId="3573F48F" w14:textId="77777777" w:rsidR="00C22FFE" w:rsidRDefault="00C22FFE" w:rsidP="00B528E4">
      <w:pPr>
        <w:pStyle w:val="a8"/>
        <w:numPr>
          <w:ilvl w:val="0"/>
          <w:numId w:val="21"/>
        </w:numPr>
        <w:ind w:firstLineChars="0"/>
        <w:outlineLvl w:val="1"/>
      </w:pPr>
      <w:r w:rsidRPr="00DF01AE">
        <w:rPr>
          <w:b/>
        </w:rPr>
        <w:t>宝马预计2022年电动汽车销量翻倍</w:t>
      </w:r>
    </w:p>
    <w:p w14:paraId="3C79EA5D" w14:textId="77777777" w:rsidR="00C22FFE" w:rsidRDefault="00C22FFE" w:rsidP="00B528E4">
      <w:r>
        <w:rPr>
          <w:rFonts w:hint="eastAsia"/>
        </w:rPr>
        <w:t>从路透社获悉，宝马集团销售量持续增长，预计今年盈利将增长</w:t>
      </w:r>
      <w:r>
        <w:t>9.5%-10.5%，电动汽车销量也将在2022年提升一倍。此前，宝马集团公布了第三季度财报，第三季度净利润增长42.4%，为25.8亿欧元。</w:t>
      </w:r>
    </w:p>
    <w:p w14:paraId="031EF48F" w14:textId="4B654CAB" w:rsidR="00C22FFE" w:rsidRPr="00CB1AA8" w:rsidRDefault="00C22FFE" w:rsidP="00B528E4">
      <w:r>
        <w:rPr>
          <w:rFonts w:hint="eastAsia"/>
        </w:rPr>
        <w:t>宝马集团首席财务官</w:t>
      </w:r>
      <w:r>
        <w:t>NicolasPeter表示，尽管2022年下半年半导体供应危机可能进一步缓解，但目前利润率增长不会持续太久。此外，宝马集团预计电动汽车销量将在2022年提升一倍，并计划将所有新车价格提升1%。</w:t>
      </w:r>
    </w:p>
    <w:p w14:paraId="5598B2B1" w14:textId="77777777" w:rsidR="00C22FFE" w:rsidRPr="00BE2723" w:rsidRDefault="00C22FFE" w:rsidP="00B528E4">
      <w:pPr>
        <w:pStyle w:val="a8"/>
        <w:numPr>
          <w:ilvl w:val="0"/>
          <w:numId w:val="21"/>
        </w:numPr>
        <w:ind w:firstLineChars="0"/>
        <w:outlineLvl w:val="1"/>
        <w:rPr>
          <w:b/>
        </w:rPr>
      </w:pPr>
      <w:r w:rsidRPr="00BE2723">
        <w:rPr>
          <w:rFonts w:hint="eastAsia"/>
          <w:b/>
        </w:rPr>
        <w:t>从特斯拉减配</w:t>
      </w:r>
      <w:r w:rsidRPr="00BE2723">
        <w:rPr>
          <w:b/>
        </w:rPr>
        <w:t>USB看缺芯时代的车企对策</w:t>
      </w:r>
    </w:p>
    <w:p w14:paraId="5E0C189A" w14:textId="77777777" w:rsidR="00C22FFE" w:rsidRDefault="00C22FFE" w:rsidP="00B528E4">
      <w:r>
        <w:rPr>
          <w:rFonts w:hint="eastAsia"/>
        </w:rPr>
        <w:t>在芯片危机之下依然能够保证销量猛增的特斯拉，也曝出了供应链问题，导致有部分车主发现交付的</w:t>
      </w:r>
      <w:r>
        <w:t>Model3/Y车型只预留了孔位，但未配备USB接口，同时部分新车的无线充电功能也被“减配”。</w:t>
      </w:r>
    </w:p>
    <w:p w14:paraId="7C296455" w14:textId="18C11321" w:rsidR="00C22FFE" w:rsidRPr="00CB1AA8" w:rsidRDefault="00C22FFE" w:rsidP="00B528E4">
      <w:r>
        <w:t>第一类：减配发现目前车企的应对芯片危机的策略可以分为四种，分别是减配、补装、延迟交付以及加价。第二类：补装相比于粗暴的直接取消相应配置，有些车企选择后续补装缺席的配件。第三类：延迟交付其实以上两种芯片短缺的问题还是相对轻微，因为车辆只是暂时缺失了部分功能，依然有正常交付的可能。第四类：加价就能提车</w:t>
      </w:r>
      <w:r>
        <w:rPr>
          <w:rFonts w:hint="eastAsia"/>
        </w:rPr>
        <w:t>。</w:t>
      </w:r>
    </w:p>
    <w:p w14:paraId="5AFB01DF" w14:textId="77777777" w:rsidR="00C22FFE" w:rsidRPr="005E70E0" w:rsidRDefault="00C22FFE" w:rsidP="00B528E4">
      <w:pPr>
        <w:pStyle w:val="a8"/>
        <w:numPr>
          <w:ilvl w:val="0"/>
          <w:numId w:val="21"/>
        </w:numPr>
        <w:ind w:firstLineChars="0"/>
        <w:outlineLvl w:val="1"/>
        <w:rPr>
          <w:b/>
        </w:rPr>
      </w:pPr>
      <w:r w:rsidRPr="005E70E0">
        <w:rPr>
          <w:rFonts w:hint="eastAsia"/>
          <w:b/>
        </w:rPr>
        <w:t>戴姆勒将在柏林工厂生产首个自研电动机</w:t>
      </w:r>
    </w:p>
    <w:p w14:paraId="6A839E8D" w14:textId="77777777" w:rsidR="00C22FFE" w:rsidRDefault="00C22FFE" w:rsidP="00B528E4">
      <w:r>
        <w:rPr>
          <w:rFonts w:hint="eastAsia"/>
        </w:rPr>
        <w:t>戴姆勒在</w:t>
      </w:r>
      <w:r>
        <w:t>11月18日表示，将在其位于德国柏林的工厂内生产首个内部电动机，此举让担心这个柴油发动机生产基地将遭遇大幅裁员的人松了一口气。</w:t>
      </w:r>
    </w:p>
    <w:p w14:paraId="35385FDA" w14:textId="121456FE" w:rsidR="00C22FFE" w:rsidRDefault="00C22FFE" w:rsidP="00B528E4">
      <w:r>
        <w:rPr>
          <w:rFonts w:hint="eastAsia"/>
        </w:rPr>
        <w:t>新的电动机被称为轴向磁通电机，由戴姆勒在今年早些时候收购的英国初创公司</w:t>
      </w:r>
      <w:r>
        <w:t>YASA所设计，其重量远远低于柴油机同类产品，可以将电动汽车的续航能力提高7%。</w:t>
      </w:r>
    </w:p>
    <w:p w14:paraId="4EC1EBF0" w14:textId="77777777" w:rsidR="00C22FFE" w:rsidRPr="005E70E0" w:rsidRDefault="00C22FFE" w:rsidP="00B528E4">
      <w:pPr>
        <w:pStyle w:val="a8"/>
        <w:numPr>
          <w:ilvl w:val="0"/>
          <w:numId w:val="21"/>
        </w:numPr>
        <w:ind w:firstLineChars="0"/>
        <w:outlineLvl w:val="1"/>
        <w:rPr>
          <w:b/>
        </w:rPr>
      </w:pPr>
      <w:r w:rsidRPr="005E70E0">
        <w:rPr>
          <w:rFonts w:hint="eastAsia"/>
          <w:b/>
        </w:rPr>
        <w:t>德州仪器斥资</w:t>
      </w:r>
      <w:r w:rsidRPr="005E70E0">
        <w:rPr>
          <w:b/>
        </w:rPr>
        <w:t>300亿美元新建4座半导体工厂</w:t>
      </w:r>
    </w:p>
    <w:p w14:paraId="00852371" w14:textId="77777777" w:rsidR="00C22FFE" w:rsidRDefault="00C22FFE" w:rsidP="00B528E4">
      <w:r>
        <w:rPr>
          <w:rFonts w:hint="eastAsia"/>
        </w:rPr>
        <w:t>德州仪器</w:t>
      </w:r>
      <w:r>
        <w:t>(TexasInstruments)计划投资300亿美元，在美国得克萨斯州北部谢尔曼新建4座半导体工厂。</w:t>
      </w:r>
    </w:p>
    <w:p w14:paraId="2CDFEFBE" w14:textId="30157F62" w:rsidR="00C22FFE" w:rsidRPr="00CB1AA8" w:rsidRDefault="00C22FFE" w:rsidP="00B528E4">
      <w:r>
        <w:t>11月17日，德州仪器表示，该公司将于明年开始建造首批两家工厂，生产用于汽车、卡车到工业机械等行业所需的300毫米晶圆。第一座工厂预计将于2025年开始投产。为了满足未来的芯片需求，德州仪器还计划在格雷森县470万平方英尺的土地上新建另两座工厂。该公司表示，这些工厂建成后可以雇佣3,000多名工人。</w:t>
      </w:r>
    </w:p>
    <w:p w14:paraId="25FD0D2D" w14:textId="77777777" w:rsidR="00C22FFE" w:rsidRPr="00795FFB" w:rsidRDefault="00C22FFE" w:rsidP="00B528E4">
      <w:pPr>
        <w:pStyle w:val="a8"/>
        <w:numPr>
          <w:ilvl w:val="0"/>
          <w:numId w:val="21"/>
        </w:numPr>
        <w:ind w:firstLineChars="0"/>
        <w:outlineLvl w:val="1"/>
        <w:rPr>
          <w:b/>
        </w:rPr>
      </w:pPr>
      <w:r w:rsidRPr="00795FFB">
        <w:rPr>
          <w:rFonts w:hint="eastAsia"/>
          <w:b/>
        </w:rPr>
        <w:t>丰田计划</w:t>
      </w:r>
      <w:r w:rsidRPr="00795FFB">
        <w:rPr>
          <w:b/>
        </w:rPr>
        <w:t>12月产80万辆车日本工厂恢复运营</w:t>
      </w:r>
    </w:p>
    <w:p w14:paraId="77EF3B91" w14:textId="77777777" w:rsidR="00C22FFE" w:rsidRDefault="00C22FFE" w:rsidP="00B528E4">
      <w:r>
        <w:t>11月12日，丰田汽车表示，该公司计划12月在全球生产约80万辆汽车，高于去年同期的约76万辆。该公司还表示保持本财年(2021.4.1-2022.3.31)生产900万辆汽车的计划不变。</w:t>
      </w:r>
    </w:p>
    <w:p w14:paraId="6C216624" w14:textId="31EAFAA5" w:rsidR="00C22FFE" w:rsidRDefault="00C22FFE" w:rsidP="00B528E4">
      <w:r>
        <w:rPr>
          <w:rFonts w:hint="eastAsia"/>
        </w:rPr>
        <w:t>丰田曾宣布将本财年的预期产量从</w:t>
      </w:r>
      <w:r>
        <w:t>930万辆下调至900万辆。但是，丰田首席财务官KentaKon在第二财季业绩报告的新闻发布会上表示，这一产量预测现在看来有些保守。不过，“12月以后仍面临一些风险。”尽管丰田会弥补此前削减的生产，但是该公司还是将本财年的汽车销量目标从1055万辆下调至1029万辆。</w:t>
      </w:r>
    </w:p>
    <w:p w14:paraId="58585EF9" w14:textId="77777777" w:rsidR="00C22FFE" w:rsidRDefault="00C22FFE" w:rsidP="00B528E4">
      <w:pPr>
        <w:pStyle w:val="a8"/>
        <w:numPr>
          <w:ilvl w:val="0"/>
          <w:numId w:val="21"/>
        </w:numPr>
        <w:ind w:firstLineChars="0"/>
        <w:outlineLvl w:val="1"/>
      </w:pPr>
      <w:r w:rsidRPr="005E70E0">
        <w:rPr>
          <w:rFonts w:hint="eastAsia"/>
          <w:b/>
        </w:rPr>
        <w:t>福特拟</w:t>
      </w:r>
      <w:r w:rsidRPr="005E70E0">
        <w:rPr>
          <w:b/>
        </w:rPr>
        <w:t>2023年将电动汽车产能增至60万辆</w:t>
      </w:r>
    </w:p>
    <w:p w14:paraId="2E912009" w14:textId="630D27C5" w:rsidR="00C22FFE" w:rsidRDefault="00C22FFE" w:rsidP="00B528E4">
      <w:r>
        <w:rPr>
          <w:rFonts w:hint="eastAsia"/>
        </w:rPr>
        <w:t>福特汽车近日表示，计划到</w:t>
      </w:r>
      <w:r>
        <w:t>2023年将全球电动汽车产能增至60万辆，是原来预期的两倍。该公司CEO吉姆·法利-预计，这将使福特成为仅次于特斯拉的美国第二大电动汽车生产商。</w:t>
      </w:r>
    </w:p>
    <w:p w14:paraId="1086D50F" w14:textId="77777777" w:rsidR="00C22FFE" w:rsidRPr="00795FFB" w:rsidRDefault="00C22FFE" w:rsidP="00B528E4">
      <w:pPr>
        <w:pStyle w:val="a8"/>
        <w:numPr>
          <w:ilvl w:val="0"/>
          <w:numId w:val="21"/>
        </w:numPr>
        <w:ind w:firstLineChars="0"/>
        <w:outlineLvl w:val="1"/>
        <w:rPr>
          <w:b/>
        </w:rPr>
      </w:pPr>
      <w:r w:rsidRPr="00795FFB">
        <w:rPr>
          <w:rFonts w:hint="eastAsia"/>
          <w:b/>
        </w:rPr>
        <w:t>减少碳排放</w:t>
      </w:r>
      <w:r w:rsidRPr="00795FFB">
        <w:rPr>
          <w:b/>
        </w:rPr>
        <w:t>起亚发布2045年碳中和战略</w:t>
      </w:r>
    </w:p>
    <w:p w14:paraId="1A96BB05" w14:textId="5036E48B" w:rsidR="00C22FFE" w:rsidRDefault="00C22FFE" w:rsidP="00B528E4">
      <w:r>
        <w:rPr>
          <w:rFonts w:hint="eastAsia"/>
        </w:rPr>
        <w:t>起亚发布了“可持续移动出行解决方案供应商”企业愿景，并将“</w:t>
      </w:r>
      <w:r>
        <w:t>2045年碳中和战略”作为实现这一愿景的关键任务。起亚宣布通过可持续的移动解决方案为客户、社区和全球社会发展做出贡献的愿景。</w:t>
      </w:r>
    </w:p>
    <w:p w14:paraId="2391606C" w14:textId="77777777" w:rsidR="00C22FFE" w:rsidRPr="00C06BE4" w:rsidRDefault="00C22FFE" w:rsidP="00B528E4">
      <w:pPr>
        <w:pStyle w:val="a8"/>
        <w:numPr>
          <w:ilvl w:val="0"/>
          <w:numId w:val="21"/>
        </w:numPr>
        <w:ind w:firstLineChars="0"/>
        <w:outlineLvl w:val="1"/>
        <w:rPr>
          <w:b/>
        </w:rPr>
      </w:pPr>
      <w:r w:rsidRPr="00C06BE4">
        <w:rPr>
          <w:rFonts w:hint="eastAsia"/>
          <w:b/>
        </w:rPr>
        <w:t>苹果报道称</w:t>
      </w:r>
      <w:r w:rsidRPr="00C06BE4">
        <w:rPr>
          <w:b/>
        </w:rPr>
        <w:t>2025年推出全自动驾驶汽车</w:t>
      </w:r>
    </w:p>
    <w:p w14:paraId="20A0C17F" w14:textId="23E4E03B" w:rsidR="00C22FFE" w:rsidRPr="00CB1AA8" w:rsidRDefault="00C22FFE" w:rsidP="00B528E4">
      <w:r w:rsidRPr="00680090">
        <w:t>11月19日，据外媒援引知情人士报道，苹果已重新将汽车研发重点放到全自动驾驶能力方面，并希望在2025年推出市场。</w:t>
      </w:r>
    </w:p>
    <w:p w14:paraId="522BE9FF" w14:textId="77777777" w:rsidR="00C22FFE" w:rsidRPr="00DF01AE" w:rsidRDefault="00C22FFE" w:rsidP="00B528E4">
      <w:pPr>
        <w:pStyle w:val="a8"/>
        <w:numPr>
          <w:ilvl w:val="0"/>
          <w:numId w:val="21"/>
        </w:numPr>
        <w:ind w:firstLineChars="0"/>
        <w:outlineLvl w:val="1"/>
        <w:rPr>
          <w:b/>
        </w:rPr>
      </w:pPr>
      <w:r w:rsidRPr="00DF01AE">
        <w:rPr>
          <w:rFonts w:hint="eastAsia"/>
          <w:b/>
        </w:rPr>
        <w:t>日本将为电动车电池厂建设提供补贴</w:t>
      </w:r>
    </w:p>
    <w:p w14:paraId="79BCB2B3" w14:textId="77777777" w:rsidR="00C22FFE" w:rsidRDefault="00C22FFE" w:rsidP="00B528E4">
      <w:r>
        <w:rPr>
          <w:rFonts w:hint="eastAsia"/>
        </w:rPr>
        <w:t>日本将投入约</w:t>
      </w:r>
      <w:r>
        <w:t>1,000亿日元(合8.77亿美元)设立补贴，以支持先进的电动车电池工厂的建设。</w:t>
      </w:r>
    </w:p>
    <w:p w14:paraId="14D2CDC9" w14:textId="6A9CADC8" w:rsidR="00C22FFE" w:rsidRDefault="00C22FFE" w:rsidP="00B528E4">
      <w:r>
        <w:rPr>
          <w:rFonts w:hint="eastAsia"/>
        </w:rPr>
        <w:t>电动汽车预计将在日本的脱碳努力中发挥关键作用。</w:t>
      </w:r>
      <w:r>
        <w:t>10月，日本政府批准了一项战略能源计划，目标是到2035年所有新生产的乘用车都是电动汽车。日本政府将鼓励大规模投资，到2030年使国内电动车电池产能达100GWh，足以为240万辆电动汽车提供动力。这项电池厂补贴就是日本政府支持该项计划的措施之一。</w:t>
      </w:r>
    </w:p>
    <w:p w14:paraId="762D5F59" w14:textId="77777777" w:rsidR="00C22FFE" w:rsidRPr="00795FFB" w:rsidRDefault="00C22FFE" w:rsidP="00B528E4">
      <w:pPr>
        <w:pStyle w:val="a8"/>
        <w:numPr>
          <w:ilvl w:val="0"/>
          <w:numId w:val="21"/>
        </w:numPr>
        <w:ind w:firstLineChars="0"/>
        <w:outlineLvl w:val="1"/>
        <w:rPr>
          <w:b/>
        </w:rPr>
      </w:pPr>
      <w:r w:rsidRPr="00795FFB">
        <w:rPr>
          <w:rFonts w:hint="eastAsia"/>
          <w:b/>
        </w:rPr>
        <w:t>通用计划</w:t>
      </w:r>
      <w:r w:rsidRPr="00795FFB">
        <w:rPr>
          <w:b/>
        </w:rPr>
        <w:t>2025年前在韩国推出10款电动车</w:t>
      </w:r>
    </w:p>
    <w:p w14:paraId="45AFD68A" w14:textId="77777777" w:rsidR="00C22FFE" w:rsidRDefault="00C22FFE" w:rsidP="00B528E4">
      <w:r>
        <w:t>11月12日，通用汽车国际业务总裁StevenKiefer表示，通用汽车将在2025年前向韩国市场推出10款电动汽车，但尚未计划在韩国生产电动汽车。</w:t>
      </w:r>
    </w:p>
    <w:p w14:paraId="05C633B1" w14:textId="77777777" w:rsidR="00C22FFE" w:rsidRDefault="00C22FFE" w:rsidP="00B528E4">
      <w:r>
        <w:t>Kiefer强调了韩国市场对通用的重要性，并表示竞争力和盈利能力是通用维持韩国汽车业务的关键。</w:t>
      </w:r>
    </w:p>
    <w:p w14:paraId="36D4650F" w14:textId="7D6AD0D2" w:rsidR="00C22FFE" w:rsidRDefault="00C22FFE" w:rsidP="00B528E4">
      <w:r>
        <w:t>Kiefer还表示，通用汽车与韩国电池制造商LG能源解决方案的合作“未来可期”。目前，通用汽车和LG正在美国建设两家电池制造厂，综合年产能约为70GWh，大约可为100万辆电动汽车提供动力。</w:t>
      </w:r>
    </w:p>
    <w:p w14:paraId="0D35AFFE" w14:textId="77777777" w:rsidR="00C22FFE" w:rsidRDefault="00C22FFE" w:rsidP="00B528E4">
      <w:pPr>
        <w:pStyle w:val="a8"/>
        <w:numPr>
          <w:ilvl w:val="0"/>
          <w:numId w:val="21"/>
        </w:numPr>
        <w:ind w:firstLineChars="0"/>
        <w:outlineLvl w:val="1"/>
      </w:pPr>
      <w:r w:rsidRPr="00C06BE4">
        <w:rPr>
          <w:rFonts w:hint="eastAsia"/>
          <w:b/>
        </w:rPr>
        <w:t>通用将与</w:t>
      </w:r>
      <w:r w:rsidRPr="00C06BE4">
        <w:rPr>
          <w:b/>
        </w:rPr>
        <w:t>7家芯片厂商合作开发MCU</w:t>
      </w:r>
    </w:p>
    <w:p w14:paraId="5FAD57F2" w14:textId="77777777" w:rsidR="00C22FFE" w:rsidRDefault="00C22FFE" w:rsidP="00B528E4">
      <w:r>
        <w:t>11月18日，通用汽车总裁MarkReuss在投资者会议上表示，通用正在与7家芯片供应商合作开发三个新的MCU系列，这将使得未来汽车上的特定芯片数量减少95%。</w:t>
      </w:r>
    </w:p>
    <w:p w14:paraId="4BA007E0" w14:textId="445D9954" w:rsidR="00C22FFE" w:rsidRPr="00CB1AA8" w:rsidRDefault="00C22FFE" w:rsidP="00B528E4">
      <w:r>
        <w:rPr>
          <w:rFonts w:hint="eastAsia"/>
        </w:rPr>
        <w:t>这</w:t>
      </w:r>
      <w:r>
        <w:t>7个合作伙伴分别为高通、意法半导体、台积电、瑞萨、恩智浦、英飞凌和安森美。</w:t>
      </w:r>
    </w:p>
    <w:p w14:paraId="555AF098" w14:textId="77777777" w:rsidR="00C22FFE" w:rsidRPr="00C06BE4" w:rsidRDefault="00C22FFE" w:rsidP="00B528E4">
      <w:pPr>
        <w:pStyle w:val="a8"/>
        <w:numPr>
          <w:ilvl w:val="0"/>
          <w:numId w:val="21"/>
        </w:numPr>
        <w:ind w:firstLineChars="0"/>
        <w:outlineLvl w:val="1"/>
        <w:rPr>
          <w:b/>
        </w:rPr>
      </w:pPr>
      <w:r w:rsidRPr="00C06BE4">
        <w:rPr>
          <w:rFonts w:hint="eastAsia"/>
          <w:b/>
        </w:rPr>
        <w:t>现代、起亚电动汽车在欧洲年销量首次突破</w:t>
      </w:r>
      <w:r w:rsidRPr="00C06BE4">
        <w:rPr>
          <w:b/>
        </w:rPr>
        <w:t>10万辆</w:t>
      </w:r>
    </w:p>
    <w:p w14:paraId="796E7341" w14:textId="6D33C861" w:rsidR="00C22FFE" w:rsidRPr="00CB1AA8" w:rsidRDefault="00C22FFE" w:rsidP="00B528E4">
      <w:r w:rsidRPr="0085296D">
        <w:rPr>
          <w:rFonts w:hint="eastAsia"/>
        </w:rPr>
        <w:t>现代汽车和起亚的投资者信息网站显示，两家公司今年</w:t>
      </w:r>
      <w:r w:rsidRPr="0085296D">
        <w:t>1月至10月在欧洲电动汽车销量共10.4883万辆，同比增加41.9%。这是现代汽车和起亚的电动汽车在欧洲年销量首次突破10万辆大关。其中，现代汽车销售5.6637万辆，同比增加33.1%。起亚汽车销售4.8246万辆，同比增加53.9%。</w:t>
      </w:r>
    </w:p>
    <w:p w14:paraId="1D488378" w14:textId="77777777" w:rsidR="00C22FFE" w:rsidRPr="00B2624E" w:rsidRDefault="00C22FFE" w:rsidP="00B528E4">
      <w:pPr>
        <w:pStyle w:val="a8"/>
        <w:numPr>
          <w:ilvl w:val="0"/>
          <w:numId w:val="21"/>
        </w:numPr>
        <w:ind w:firstLineChars="0"/>
        <w:outlineLvl w:val="1"/>
        <w:rPr>
          <w:b/>
        </w:rPr>
      </w:pPr>
      <w:r w:rsidRPr="00B2624E">
        <w:rPr>
          <w:rFonts w:hint="eastAsia"/>
          <w:b/>
        </w:rPr>
        <w:t>现代汽车集团将氢能全球化放在中国</w:t>
      </w:r>
    </w:p>
    <w:p w14:paraId="49D18FCF" w14:textId="53D4CE32" w:rsidR="00C22FFE" w:rsidRPr="00CB1AA8" w:rsidRDefault="00C22FFE" w:rsidP="00B528E4">
      <w:r>
        <w:t>现代汽车集团将氢能普及的重点放到了中国市场，中国版NEXO将在2022年投入市场，并进行商业化探索，与此同时，2022年下半年，HTWO广州也将实现建成量产，预计到2030年总投资将达到85亿元人民币。</w:t>
      </w:r>
    </w:p>
    <w:sectPr w:rsidR="00C22FFE" w:rsidRPr="00CB1AA8" w:rsidSect="006F7C38">
      <w:headerReference w:type="default" r:id="rId23"/>
      <w:pgSz w:w="11906" w:h="16838"/>
      <w:pgMar w:top="1440" w:right="1800" w:bottom="1440" w:left="1800"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8FB59" w14:textId="77777777" w:rsidR="00B05FBE" w:rsidRDefault="00B05FBE" w:rsidP="00B528E4">
      <w:r>
        <w:separator/>
      </w:r>
    </w:p>
  </w:endnote>
  <w:endnote w:type="continuationSeparator" w:id="0">
    <w:p w14:paraId="1BD1522A" w14:textId="77777777" w:rsidR="00B05FBE" w:rsidRDefault="00B05FBE" w:rsidP="00B5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2639F" w14:textId="77777777" w:rsidR="00B05FBE" w:rsidRDefault="00B05FBE" w:rsidP="00B528E4">
      <w:r>
        <w:separator/>
      </w:r>
    </w:p>
  </w:footnote>
  <w:footnote w:type="continuationSeparator" w:id="0">
    <w:p w14:paraId="1E6A29D7" w14:textId="77777777" w:rsidR="00B05FBE" w:rsidRDefault="00B05FBE" w:rsidP="00B5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6171" w14:textId="562293AF" w:rsidR="006F7C38" w:rsidRDefault="006F7C38" w:rsidP="006F7C38">
    <w:pPr>
      <w:pStyle w:val="a3"/>
      <w:jc w:val="left"/>
    </w:pPr>
    <w:r>
      <w:rPr>
        <w:noProof/>
      </w:rPr>
      <w:drawing>
        <wp:inline distT="0" distB="0" distL="0" distR="0" wp14:anchorId="0788874E" wp14:editId="1BBB6FF0">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042350"/>
    <w:multiLevelType w:val="hybridMultilevel"/>
    <w:tmpl w:val="FF1A355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C13558"/>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4"/>
  </w:num>
  <w:num w:numId="4">
    <w:abstractNumId w:val="16"/>
  </w:num>
  <w:num w:numId="5">
    <w:abstractNumId w:val="15"/>
  </w:num>
  <w:num w:numId="6">
    <w:abstractNumId w:val="11"/>
  </w:num>
  <w:num w:numId="7">
    <w:abstractNumId w:val="6"/>
  </w:num>
  <w:num w:numId="8">
    <w:abstractNumId w:val="5"/>
  </w:num>
  <w:num w:numId="9">
    <w:abstractNumId w:val="12"/>
  </w:num>
  <w:num w:numId="10">
    <w:abstractNumId w:val="7"/>
  </w:num>
  <w:num w:numId="11">
    <w:abstractNumId w:val="1"/>
  </w:num>
  <w:num w:numId="12">
    <w:abstractNumId w:val="9"/>
  </w:num>
  <w:num w:numId="13">
    <w:abstractNumId w:val="2"/>
  </w:num>
  <w:num w:numId="14">
    <w:abstractNumId w:val="21"/>
  </w:num>
  <w:num w:numId="15">
    <w:abstractNumId w:val="20"/>
  </w:num>
  <w:num w:numId="16">
    <w:abstractNumId w:val="17"/>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 w:numId="21">
    <w:abstractNumId w:val="3"/>
  </w:num>
  <w:num w:numId="22">
    <w:abstractNumId w:val="1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7F"/>
    <w:rsid w:val="000578B5"/>
    <w:rsid w:val="0008140A"/>
    <w:rsid w:val="000B3DFD"/>
    <w:rsid w:val="00105BED"/>
    <w:rsid w:val="00195876"/>
    <w:rsid w:val="001B15C5"/>
    <w:rsid w:val="002614A3"/>
    <w:rsid w:val="002C75D9"/>
    <w:rsid w:val="00313114"/>
    <w:rsid w:val="003159C7"/>
    <w:rsid w:val="003216B5"/>
    <w:rsid w:val="0033160A"/>
    <w:rsid w:val="00377050"/>
    <w:rsid w:val="003E43F1"/>
    <w:rsid w:val="00416B7B"/>
    <w:rsid w:val="0045557F"/>
    <w:rsid w:val="004704B1"/>
    <w:rsid w:val="004D697C"/>
    <w:rsid w:val="00510CBD"/>
    <w:rsid w:val="005C5BD6"/>
    <w:rsid w:val="005E264C"/>
    <w:rsid w:val="00621D12"/>
    <w:rsid w:val="0063271B"/>
    <w:rsid w:val="006A11B3"/>
    <w:rsid w:val="006B4B7F"/>
    <w:rsid w:val="006D094D"/>
    <w:rsid w:val="006F7C38"/>
    <w:rsid w:val="007936E0"/>
    <w:rsid w:val="007A2D3B"/>
    <w:rsid w:val="007F02FC"/>
    <w:rsid w:val="00887EE9"/>
    <w:rsid w:val="008D5891"/>
    <w:rsid w:val="00926EB3"/>
    <w:rsid w:val="00953AE1"/>
    <w:rsid w:val="009C0EB7"/>
    <w:rsid w:val="00A16695"/>
    <w:rsid w:val="00A525FD"/>
    <w:rsid w:val="00B05FBE"/>
    <w:rsid w:val="00B528E4"/>
    <w:rsid w:val="00BC74F5"/>
    <w:rsid w:val="00C22FFE"/>
    <w:rsid w:val="00C31FF1"/>
    <w:rsid w:val="00CB1AA8"/>
    <w:rsid w:val="00CF20FD"/>
    <w:rsid w:val="00D108AC"/>
    <w:rsid w:val="00E14280"/>
    <w:rsid w:val="00E40E5D"/>
    <w:rsid w:val="00E479C6"/>
    <w:rsid w:val="00E50413"/>
    <w:rsid w:val="00EA5BF5"/>
    <w:rsid w:val="00EC1E6C"/>
    <w:rsid w:val="00F17520"/>
    <w:rsid w:val="00F257E4"/>
    <w:rsid w:val="00F60D2B"/>
    <w:rsid w:val="00F658AC"/>
    <w:rsid w:val="00FC4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A348"/>
  <w15:chartTrackingRefBased/>
  <w15:docId w15:val="{EEBDDDC8-2FDA-41B4-A860-2479D0485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28E4"/>
    <w:pPr>
      <w:widowControl w:val="0"/>
      <w:jc w:val="both"/>
    </w:pPr>
    <w:rPr>
      <w:szCs w:val="24"/>
    </w:rPr>
  </w:style>
  <w:style w:type="paragraph" w:styleId="2">
    <w:name w:val="heading 2"/>
    <w:basedOn w:val="a"/>
    <w:next w:val="a"/>
    <w:link w:val="20"/>
    <w:semiHidden/>
    <w:unhideWhenUsed/>
    <w:qFormat/>
    <w:rsid w:val="00B528E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528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528E4"/>
    <w:rPr>
      <w:sz w:val="18"/>
      <w:szCs w:val="18"/>
    </w:rPr>
  </w:style>
  <w:style w:type="paragraph" w:styleId="a5">
    <w:name w:val="footer"/>
    <w:basedOn w:val="a"/>
    <w:link w:val="a6"/>
    <w:unhideWhenUsed/>
    <w:rsid w:val="00B528E4"/>
    <w:pPr>
      <w:tabs>
        <w:tab w:val="center" w:pos="4153"/>
        <w:tab w:val="right" w:pos="8306"/>
      </w:tabs>
      <w:snapToGrid w:val="0"/>
      <w:jc w:val="left"/>
    </w:pPr>
    <w:rPr>
      <w:sz w:val="18"/>
      <w:szCs w:val="18"/>
    </w:rPr>
  </w:style>
  <w:style w:type="character" w:customStyle="1" w:styleId="a6">
    <w:name w:val="页脚 字符"/>
    <w:basedOn w:val="a0"/>
    <w:link w:val="a5"/>
    <w:rsid w:val="00B528E4"/>
    <w:rPr>
      <w:sz w:val="18"/>
      <w:szCs w:val="18"/>
    </w:rPr>
  </w:style>
  <w:style w:type="character" w:customStyle="1" w:styleId="20">
    <w:name w:val="标题 2 字符"/>
    <w:basedOn w:val="a0"/>
    <w:link w:val="2"/>
    <w:semiHidden/>
    <w:rsid w:val="00B528E4"/>
    <w:rPr>
      <w:rFonts w:asciiTheme="majorHAnsi" w:eastAsiaTheme="majorEastAsia" w:hAnsiTheme="majorHAnsi" w:cstheme="majorBidi"/>
      <w:b/>
      <w:bCs/>
      <w:sz w:val="32"/>
      <w:szCs w:val="32"/>
    </w:rPr>
  </w:style>
  <w:style w:type="character" w:styleId="a7">
    <w:name w:val="Strong"/>
    <w:basedOn w:val="a0"/>
    <w:qFormat/>
    <w:rsid w:val="00B528E4"/>
    <w:rPr>
      <w:b/>
    </w:rPr>
  </w:style>
  <w:style w:type="paragraph" w:customStyle="1" w:styleId="1">
    <w:name w:val="列出段落1"/>
    <w:basedOn w:val="a"/>
    <w:uiPriority w:val="99"/>
    <w:qFormat/>
    <w:rsid w:val="00B528E4"/>
    <w:pPr>
      <w:ind w:firstLineChars="200" w:firstLine="420"/>
    </w:pPr>
  </w:style>
  <w:style w:type="paragraph" w:styleId="a8">
    <w:name w:val="List Paragraph"/>
    <w:basedOn w:val="a"/>
    <w:uiPriority w:val="34"/>
    <w:qFormat/>
    <w:rsid w:val="00B528E4"/>
    <w:pPr>
      <w:ind w:firstLineChars="200" w:firstLine="420"/>
    </w:pPr>
  </w:style>
  <w:style w:type="paragraph" w:styleId="a9">
    <w:name w:val="Balloon Text"/>
    <w:basedOn w:val="a"/>
    <w:link w:val="aa"/>
    <w:rsid w:val="00B528E4"/>
    <w:rPr>
      <w:sz w:val="18"/>
      <w:szCs w:val="18"/>
    </w:rPr>
  </w:style>
  <w:style w:type="character" w:customStyle="1" w:styleId="aa">
    <w:name w:val="批注框文本 字符"/>
    <w:basedOn w:val="a0"/>
    <w:link w:val="a9"/>
    <w:rsid w:val="00B528E4"/>
    <w:rPr>
      <w:sz w:val="18"/>
      <w:szCs w:val="18"/>
    </w:rPr>
  </w:style>
  <w:style w:type="character" w:customStyle="1" w:styleId="apple-converted-space">
    <w:name w:val="apple-converted-space"/>
    <w:basedOn w:val="a0"/>
    <w:rsid w:val="00B528E4"/>
  </w:style>
  <w:style w:type="character" w:styleId="ab">
    <w:name w:val="annotation reference"/>
    <w:basedOn w:val="a0"/>
    <w:uiPriority w:val="99"/>
    <w:semiHidden/>
    <w:unhideWhenUsed/>
    <w:rsid w:val="00B528E4"/>
    <w:rPr>
      <w:sz w:val="21"/>
      <w:szCs w:val="21"/>
    </w:rPr>
  </w:style>
  <w:style w:type="paragraph" w:styleId="ac">
    <w:name w:val="annotation text"/>
    <w:basedOn w:val="a"/>
    <w:link w:val="ad"/>
    <w:uiPriority w:val="99"/>
    <w:semiHidden/>
    <w:unhideWhenUsed/>
    <w:rsid w:val="00B528E4"/>
    <w:pPr>
      <w:jc w:val="left"/>
    </w:pPr>
  </w:style>
  <w:style w:type="character" w:customStyle="1" w:styleId="ad">
    <w:name w:val="批注文字 字符"/>
    <w:basedOn w:val="a0"/>
    <w:link w:val="ac"/>
    <w:uiPriority w:val="99"/>
    <w:semiHidden/>
    <w:rsid w:val="00B528E4"/>
    <w:rPr>
      <w:szCs w:val="24"/>
    </w:rPr>
  </w:style>
  <w:style w:type="paragraph" w:styleId="ae">
    <w:name w:val="annotation subject"/>
    <w:basedOn w:val="ac"/>
    <w:next w:val="ac"/>
    <w:link w:val="af"/>
    <w:uiPriority w:val="99"/>
    <w:semiHidden/>
    <w:unhideWhenUsed/>
    <w:rsid w:val="00B528E4"/>
    <w:rPr>
      <w:b/>
      <w:bCs/>
    </w:rPr>
  </w:style>
  <w:style w:type="character" w:customStyle="1" w:styleId="af">
    <w:name w:val="批注主题 字符"/>
    <w:basedOn w:val="ad"/>
    <w:link w:val="ae"/>
    <w:uiPriority w:val="99"/>
    <w:semiHidden/>
    <w:rsid w:val="00B528E4"/>
    <w:rPr>
      <w:b/>
      <w:bCs/>
      <w:szCs w:val="24"/>
    </w:rPr>
  </w:style>
  <w:style w:type="character" w:styleId="af0">
    <w:name w:val="Hyperlink"/>
    <w:basedOn w:val="a0"/>
    <w:uiPriority w:val="99"/>
    <w:unhideWhenUsed/>
    <w:rsid w:val="00B528E4"/>
    <w:rPr>
      <w:color w:val="0563C1" w:themeColor="hyperlink"/>
      <w:u w:val="single"/>
    </w:rPr>
  </w:style>
  <w:style w:type="character" w:styleId="af1">
    <w:name w:val="Unresolved Mention"/>
    <w:basedOn w:val="a0"/>
    <w:uiPriority w:val="99"/>
    <w:semiHidden/>
    <w:unhideWhenUsed/>
    <w:rsid w:val="006F7C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14</Pages>
  <Words>2207</Words>
  <Characters>12582</Characters>
  <Application>Microsoft Office Word</Application>
  <DocSecurity>0</DocSecurity>
  <Lines>104</Lines>
  <Paragraphs>29</Paragraphs>
  <ScaleCrop>false</ScaleCrop>
  <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4</cp:revision>
  <dcterms:created xsi:type="dcterms:W3CDTF">2021-11-24T06:01:00Z</dcterms:created>
  <dcterms:modified xsi:type="dcterms:W3CDTF">2021-11-24T07:34:00Z</dcterms:modified>
</cp:coreProperties>
</file>